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AE3944">
        <w:trPr>
          <w:cantSplit/>
          <w:trHeight w:hRule="exact" w:val="1890"/>
          <w:jc w:val="right"/>
        </w:trPr>
        <w:tc>
          <w:tcPr>
            <w:tcW w:w="9000" w:type="dxa"/>
            <w:shd w:val="clear" w:color="auto" w:fill="8DC63F"/>
            <w:vAlign w:val="center"/>
          </w:tcPr>
          <w:p w14:paraId="3EF67A49" w14:textId="5AA3498F" w:rsidR="00BD221D" w:rsidRPr="005044CA" w:rsidRDefault="00071A86" w:rsidP="00BD221D">
            <w:pPr>
              <w:pStyle w:val="eTRMHeading1"/>
              <w:jc w:val="center"/>
              <w:rPr>
                <w:sz w:val="28"/>
              </w:rPr>
            </w:pPr>
            <w:r>
              <w:rPr>
                <w:sz w:val="28"/>
              </w:rPr>
              <w:t>HVAC</w:t>
            </w:r>
          </w:p>
          <w:p w14:paraId="5CA4091D" w14:textId="63121083" w:rsidR="00BD221D" w:rsidRPr="005044CA" w:rsidRDefault="00AE3944" w:rsidP="00B561EE">
            <w:pPr>
              <w:pStyle w:val="eTRMHeading2"/>
              <w:rPr>
                <w:color w:val="FFFFFF" w:themeColor="background1"/>
                <w:spacing w:val="60"/>
                <w:sz w:val="32"/>
              </w:rPr>
            </w:pPr>
            <w:r>
              <w:rPr>
                <w:color w:val="FFFFFF" w:themeColor="background1"/>
                <w:spacing w:val="60"/>
                <w:sz w:val="32"/>
              </w:rPr>
              <w:t>Packaged AIr Conditioner Heat Recovery, Commercial</w:t>
            </w:r>
          </w:p>
          <w:p w14:paraId="10BE1877" w14:textId="4710523F" w:rsidR="005044CA" w:rsidRPr="005044CA" w:rsidRDefault="00AE3944" w:rsidP="00B561EE">
            <w:pPr>
              <w:pStyle w:val="eTRMHeading2"/>
              <w:rPr>
                <w:color w:val="FFFFFF" w:themeColor="background1"/>
                <w:spacing w:val="0"/>
                <w:sz w:val="28"/>
              </w:rPr>
            </w:pPr>
            <w:r>
              <w:rPr>
                <w:color w:val="FFFFFF" w:themeColor="background1"/>
                <w:spacing w:val="0"/>
                <w:sz w:val="28"/>
              </w:rPr>
              <w:t>SWHC048</w:t>
            </w:r>
            <w:r w:rsidR="005044CA" w:rsidRPr="005044CA">
              <w:rPr>
                <w:color w:val="FFFFFF" w:themeColor="background1"/>
                <w:spacing w:val="0"/>
                <w:sz w:val="28"/>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0931A535" w14:textId="69B38FC7" w:rsidR="000F77FA"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0F77FA">
        <w:rPr>
          <w:noProof/>
        </w:rPr>
        <w:t>Measure Name</w:t>
      </w:r>
      <w:r w:rsidR="000F77FA">
        <w:rPr>
          <w:noProof/>
        </w:rPr>
        <w:tab/>
      </w:r>
      <w:r w:rsidR="000F77FA">
        <w:rPr>
          <w:noProof/>
        </w:rPr>
        <w:fldChar w:fldCharType="begin"/>
      </w:r>
      <w:r w:rsidR="000F77FA">
        <w:rPr>
          <w:noProof/>
        </w:rPr>
        <w:instrText xml:space="preserve"> PAGEREF _Toc24552011 \h </w:instrText>
      </w:r>
      <w:r w:rsidR="000F77FA">
        <w:rPr>
          <w:noProof/>
        </w:rPr>
      </w:r>
      <w:r w:rsidR="000F77FA">
        <w:rPr>
          <w:noProof/>
        </w:rPr>
        <w:fldChar w:fldCharType="separate"/>
      </w:r>
      <w:r w:rsidR="000F77FA">
        <w:rPr>
          <w:noProof/>
        </w:rPr>
        <w:t>2</w:t>
      </w:r>
      <w:r w:rsidR="000F77FA">
        <w:rPr>
          <w:noProof/>
        </w:rPr>
        <w:fldChar w:fldCharType="end"/>
      </w:r>
    </w:p>
    <w:p w14:paraId="509BA5EA" w14:textId="3879962D" w:rsidR="000F77FA" w:rsidRDefault="000F77FA">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_Toc24552012 \h </w:instrText>
      </w:r>
      <w:r>
        <w:rPr>
          <w:noProof/>
        </w:rPr>
      </w:r>
      <w:r>
        <w:rPr>
          <w:noProof/>
        </w:rPr>
        <w:fldChar w:fldCharType="separate"/>
      </w:r>
      <w:r>
        <w:rPr>
          <w:noProof/>
        </w:rPr>
        <w:t>2</w:t>
      </w:r>
      <w:r>
        <w:rPr>
          <w:noProof/>
        </w:rPr>
        <w:fldChar w:fldCharType="end"/>
      </w:r>
    </w:p>
    <w:p w14:paraId="7E38DCAB" w14:textId="1C27E779" w:rsidR="000F77FA" w:rsidRDefault="000F77FA">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_Toc24552013 \h </w:instrText>
      </w:r>
      <w:r>
        <w:rPr>
          <w:noProof/>
        </w:rPr>
      </w:r>
      <w:r>
        <w:rPr>
          <w:noProof/>
        </w:rPr>
        <w:fldChar w:fldCharType="separate"/>
      </w:r>
      <w:r>
        <w:rPr>
          <w:noProof/>
        </w:rPr>
        <w:t>2</w:t>
      </w:r>
      <w:r>
        <w:rPr>
          <w:noProof/>
        </w:rPr>
        <w:fldChar w:fldCharType="end"/>
      </w:r>
    </w:p>
    <w:p w14:paraId="66768414" w14:textId="0E66149B" w:rsidR="000F77FA" w:rsidRDefault="000F77FA">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_Toc24552014 \h </w:instrText>
      </w:r>
      <w:r>
        <w:rPr>
          <w:noProof/>
        </w:rPr>
      </w:r>
      <w:r>
        <w:rPr>
          <w:noProof/>
        </w:rPr>
        <w:fldChar w:fldCharType="separate"/>
      </w:r>
      <w:r>
        <w:rPr>
          <w:noProof/>
        </w:rPr>
        <w:t>3</w:t>
      </w:r>
      <w:r>
        <w:rPr>
          <w:noProof/>
        </w:rPr>
        <w:fldChar w:fldCharType="end"/>
      </w:r>
    </w:p>
    <w:p w14:paraId="6BB5EC1F" w14:textId="35F0715B" w:rsidR="000F77FA" w:rsidRDefault="000F77FA">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_Toc24552015 \h </w:instrText>
      </w:r>
      <w:r>
        <w:rPr>
          <w:noProof/>
        </w:rPr>
      </w:r>
      <w:r>
        <w:rPr>
          <w:noProof/>
        </w:rPr>
        <w:fldChar w:fldCharType="separate"/>
      </w:r>
      <w:r>
        <w:rPr>
          <w:noProof/>
        </w:rPr>
        <w:t>3</w:t>
      </w:r>
      <w:r>
        <w:rPr>
          <w:noProof/>
        </w:rPr>
        <w:fldChar w:fldCharType="end"/>
      </w:r>
    </w:p>
    <w:p w14:paraId="3D3060F1" w14:textId="77F1FEB2" w:rsidR="000F77FA" w:rsidRDefault="000F77FA">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_Toc24552016 \h </w:instrText>
      </w:r>
      <w:r>
        <w:rPr>
          <w:noProof/>
        </w:rPr>
      </w:r>
      <w:r>
        <w:rPr>
          <w:noProof/>
        </w:rPr>
        <w:fldChar w:fldCharType="separate"/>
      </w:r>
      <w:r>
        <w:rPr>
          <w:noProof/>
        </w:rPr>
        <w:t>3</w:t>
      </w:r>
      <w:r>
        <w:rPr>
          <w:noProof/>
        </w:rPr>
        <w:fldChar w:fldCharType="end"/>
      </w:r>
    </w:p>
    <w:p w14:paraId="0403C4D0" w14:textId="1C98F52A" w:rsidR="000F77FA" w:rsidRDefault="000F77FA">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_Toc24552017 \h </w:instrText>
      </w:r>
      <w:r>
        <w:rPr>
          <w:noProof/>
        </w:rPr>
      </w:r>
      <w:r>
        <w:rPr>
          <w:noProof/>
        </w:rPr>
        <w:fldChar w:fldCharType="separate"/>
      </w:r>
      <w:r>
        <w:rPr>
          <w:noProof/>
        </w:rPr>
        <w:t>3</w:t>
      </w:r>
      <w:r>
        <w:rPr>
          <w:noProof/>
        </w:rPr>
        <w:fldChar w:fldCharType="end"/>
      </w:r>
    </w:p>
    <w:p w14:paraId="1FA20913" w14:textId="15EF2117" w:rsidR="000F77FA" w:rsidRDefault="000F77FA">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_Toc24552018 \h </w:instrText>
      </w:r>
      <w:r>
        <w:rPr>
          <w:noProof/>
        </w:rPr>
      </w:r>
      <w:r>
        <w:rPr>
          <w:noProof/>
        </w:rPr>
        <w:fldChar w:fldCharType="separate"/>
      </w:r>
      <w:r>
        <w:rPr>
          <w:noProof/>
        </w:rPr>
        <w:t>4</w:t>
      </w:r>
      <w:r>
        <w:rPr>
          <w:noProof/>
        </w:rPr>
        <w:fldChar w:fldCharType="end"/>
      </w:r>
    </w:p>
    <w:p w14:paraId="2642E982" w14:textId="291ED7EF" w:rsidR="000F77FA" w:rsidRDefault="000F77FA">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_Toc24552019 \h </w:instrText>
      </w:r>
      <w:r>
        <w:rPr>
          <w:noProof/>
        </w:rPr>
      </w:r>
      <w:r>
        <w:rPr>
          <w:noProof/>
        </w:rPr>
        <w:fldChar w:fldCharType="separate"/>
      </w:r>
      <w:r>
        <w:rPr>
          <w:noProof/>
        </w:rPr>
        <w:t>4</w:t>
      </w:r>
      <w:r>
        <w:rPr>
          <w:noProof/>
        </w:rPr>
        <w:fldChar w:fldCharType="end"/>
      </w:r>
    </w:p>
    <w:p w14:paraId="7004DE44" w14:textId="1BB7085D" w:rsidR="000F77FA" w:rsidRDefault="000F77FA">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_Toc24552020 \h </w:instrText>
      </w:r>
      <w:r>
        <w:rPr>
          <w:noProof/>
        </w:rPr>
      </w:r>
      <w:r>
        <w:rPr>
          <w:noProof/>
        </w:rPr>
        <w:fldChar w:fldCharType="separate"/>
      </w:r>
      <w:r>
        <w:rPr>
          <w:noProof/>
        </w:rPr>
        <w:t>4</w:t>
      </w:r>
      <w:r>
        <w:rPr>
          <w:noProof/>
        </w:rPr>
        <w:fldChar w:fldCharType="end"/>
      </w:r>
    </w:p>
    <w:p w14:paraId="05CFBFD5" w14:textId="0E74B186" w:rsidR="000F77FA" w:rsidRDefault="000F77FA">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_Toc24552021 \h </w:instrText>
      </w:r>
      <w:r>
        <w:rPr>
          <w:noProof/>
        </w:rPr>
      </w:r>
      <w:r>
        <w:rPr>
          <w:noProof/>
        </w:rPr>
        <w:fldChar w:fldCharType="separate"/>
      </w:r>
      <w:r>
        <w:rPr>
          <w:noProof/>
        </w:rPr>
        <w:t>5</w:t>
      </w:r>
      <w:r>
        <w:rPr>
          <w:noProof/>
        </w:rPr>
        <w:fldChar w:fldCharType="end"/>
      </w:r>
    </w:p>
    <w:p w14:paraId="0DFEFBDD" w14:textId="1047B266" w:rsidR="000F77FA" w:rsidRDefault="000F77FA">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_Toc24552022 \h </w:instrText>
      </w:r>
      <w:r>
        <w:rPr>
          <w:noProof/>
        </w:rPr>
      </w:r>
      <w:r>
        <w:rPr>
          <w:noProof/>
        </w:rPr>
        <w:fldChar w:fldCharType="separate"/>
      </w:r>
      <w:r>
        <w:rPr>
          <w:noProof/>
        </w:rPr>
        <w:t>5</w:t>
      </w:r>
      <w:r>
        <w:rPr>
          <w:noProof/>
        </w:rPr>
        <w:fldChar w:fldCharType="end"/>
      </w:r>
    </w:p>
    <w:p w14:paraId="0A110A95" w14:textId="7363D62A" w:rsidR="000F77FA" w:rsidRDefault="000F77FA">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_Toc24552023 \h </w:instrText>
      </w:r>
      <w:r>
        <w:rPr>
          <w:noProof/>
        </w:rPr>
      </w:r>
      <w:r>
        <w:rPr>
          <w:noProof/>
        </w:rPr>
        <w:fldChar w:fldCharType="separate"/>
      </w:r>
      <w:r>
        <w:rPr>
          <w:noProof/>
        </w:rPr>
        <w:t>5</w:t>
      </w:r>
      <w:r>
        <w:rPr>
          <w:noProof/>
        </w:rPr>
        <w:fldChar w:fldCharType="end"/>
      </w:r>
    </w:p>
    <w:p w14:paraId="4ACF9992" w14:textId="74D445F7" w:rsidR="000F77FA" w:rsidRDefault="000F77FA">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_Toc24552024 \h </w:instrText>
      </w:r>
      <w:r>
        <w:rPr>
          <w:noProof/>
        </w:rPr>
      </w:r>
      <w:r>
        <w:rPr>
          <w:noProof/>
        </w:rPr>
        <w:fldChar w:fldCharType="separate"/>
      </w:r>
      <w:r>
        <w:rPr>
          <w:noProof/>
        </w:rPr>
        <w:t>5</w:t>
      </w:r>
      <w:r>
        <w:rPr>
          <w:noProof/>
        </w:rPr>
        <w:fldChar w:fldCharType="end"/>
      </w:r>
    </w:p>
    <w:p w14:paraId="19434CA9" w14:textId="6E36A599" w:rsidR="000F77FA" w:rsidRDefault="000F77FA">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_Toc24552025 \h </w:instrText>
      </w:r>
      <w:r>
        <w:rPr>
          <w:noProof/>
        </w:rPr>
      </w:r>
      <w:r>
        <w:rPr>
          <w:noProof/>
        </w:rPr>
        <w:fldChar w:fldCharType="separate"/>
      </w:r>
      <w:r>
        <w:rPr>
          <w:noProof/>
        </w:rPr>
        <w:t>9</w:t>
      </w:r>
      <w:r>
        <w:rPr>
          <w:noProof/>
        </w:rPr>
        <w:fldChar w:fldCharType="end"/>
      </w:r>
    </w:p>
    <w:p w14:paraId="45E0A1F9" w14:textId="373CAF9F" w:rsidR="000F77FA" w:rsidRDefault="000F77FA">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_Toc24552026 \h </w:instrText>
      </w:r>
      <w:r>
        <w:rPr>
          <w:noProof/>
        </w:rPr>
      </w:r>
      <w:r>
        <w:rPr>
          <w:noProof/>
        </w:rPr>
        <w:fldChar w:fldCharType="separate"/>
      </w:r>
      <w:r>
        <w:rPr>
          <w:noProof/>
        </w:rPr>
        <w:t>10</w:t>
      </w:r>
      <w:r>
        <w:rPr>
          <w:noProof/>
        </w:rPr>
        <w:fldChar w:fldCharType="end"/>
      </w:r>
    </w:p>
    <w:p w14:paraId="55B2983C" w14:textId="6C239D10" w:rsidR="000F77FA" w:rsidRDefault="000F77FA">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_Toc24552027 \h </w:instrText>
      </w:r>
      <w:r>
        <w:rPr>
          <w:noProof/>
        </w:rPr>
      </w:r>
      <w:r>
        <w:rPr>
          <w:noProof/>
        </w:rPr>
        <w:fldChar w:fldCharType="separate"/>
      </w:r>
      <w:r>
        <w:rPr>
          <w:noProof/>
        </w:rPr>
        <w:t>11</w:t>
      </w:r>
      <w:r>
        <w:rPr>
          <w:noProof/>
        </w:rPr>
        <w:fldChar w:fldCharType="end"/>
      </w:r>
    </w:p>
    <w:p w14:paraId="3F871A47" w14:textId="757F5019" w:rsidR="000F77FA" w:rsidRDefault="000F77FA">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_Toc24552028 \h </w:instrText>
      </w:r>
      <w:r>
        <w:rPr>
          <w:noProof/>
        </w:rPr>
      </w:r>
      <w:r>
        <w:rPr>
          <w:noProof/>
        </w:rPr>
        <w:fldChar w:fldCharType="separate"/>
      </w:r>
      <w:r>
        <w:rPr>
          <w:noProof/>
        </w:rPr>
        <w:t>11</w:t>
      </w:r>
      <w:r>
        <w:rPr>
          <w:noProof/>
        </w:rPr>
        <w:fldChar w:fldCharType="end"/>
      </w:r>
    </w:p>
    <w:p w14:paraId="3D07DF86" w14:textId="3C980FD4" w:rsidR="000F77FA" w:rsidRDefault="000F77FA">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_Toc24552029 \h </w:instrText>
      </w:r>
      <w:r>
        <w:rPr>
          <w:noProof/>
        </w:rPr>
      </w:r>
      <w:r>
        <w:rPr>
          <w:noProof/>
        </w:rPr>
        <w:fldChar w:fldCharType="separate"/>
      </w:r>
      <w:r>
        <w:rPr>
          <w:noProof/>
        </w:rPr>
        <w:t>12</w:t>
      </w:r>
      <w:r>
        <w:rPr>
          <w:noProof/>
        </w:rPr>
        <w:fldChar w:fldCharType="end"/>
      </w:r>
    </w:p>
    <w:p w14:paraId="7216E753" w14:textId="3D6C78B2" w:rsidR="000F77FA" w:rsidRDefault="000F77FA">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_Toc24552030 \h </w:instrText>
      </w:r>
      <w:r>
        <w:rPr>
          <w:noProof/>
        </w:rPr>
      </w:r>
      <w:r>
        <w:rPr>
          <w:noProof/>
        </w:rPr>
        <w:fldChar w:fldCharType="separate"/>
      </w:r>
      <w:r>
        <w:rPr>
          <w:noProof/>
        </w:rPr>
        <w:t>12</w:t>
      </w:r>
      <w:r>
        <w:rPr>
          <w:noProof/>
        </w:rPr>
        <w:fldChar w:fldCharType="end"/>
      </w:r>
    </w:p>
    <w:p w14:paraId="73B55E93" w14:textId="43747F7D" w:rsidR="000F77FA" w:rsidRDefault="000F77FA">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_Toc24552031 \h </w:instrText>
      </w:r>
      <w:r>
        <w:rPr>
          <w:noProof/>
        </w:rPr>
      </w:r>
      <w:r>
        <w:rPr>
          <w:noProof/>
        </w:rPr>
        <w:fldChar w:fldCharType="separate"/>
      </w:r>
      <w:r>
        <w:rPr>
          <w:noProof/>
        </w:rPr>
        <w:t>12</w:t>
      </w:r>
      <w:r>
        <w:rPr>
          <w:noProof/>
        </w:rPr>
        <w:fldChar w:fldCharType="end"/>
      </w:r>
    </w:p>
    <w:p w14:paraId="0FFA1E53" w14:textId="544D25B6" w:rsidR="000F77FA" w:rsidRDefault="000F77FA">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_Toc24552032 \h </w:instrText>
      </w:r>
      <w:r>
        <w:rPr>
          <w:noProof/>
        </w:rPr>
      </w:r>
      <w:r>
        <w:rPr>
          <w:noProof/>
        </w:rPr>
        <w:fldChar w:fldCharType="separate"/>
      </w:r>
      <w:r>
        <w:rPr>
          <w:noProof/>
        </w:rPr>
        <w:t>13</w:t>
      </w:r>
      <w:r>
        <w:rPr>
          <w:noProof/>
        </w:rPr>
        <w:fldChar w:fldCharType="end"/>
      </w:r>
    </w:p>
    <w:p w14:paraId="0969FF71" w14:textId="015C1A2A" w:rsidR="000F77FA" w:rsidRDefault="000F77FA">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_Toc24552033 \h </w:instrText>
      </w:r>
      <w:r>
        <w:rPr>
          <w:noProof/>
        </w:rPr>
      </w:r>
      <w:r>
        <w:rPr>
          <w:noProof/>
        </w:rPr>
        <w:fldChar w:fldCharType="separate"/>
      </w:r>
      <w:r>
        <w:rPr>
          <w:noProof/>
        </w:rPr>
        <w:t>13</w:t>
      </w:r>
      <w:r>
        <w:rPr>
          <w:noProof/>
        </w:rPr>
        <w:fldChar w:fldCharType="end"/>
      </w:r>
    </w:p>
    <w:p w14:paraId="427948C0" w14:textId="68AF1681" w:rsidR="000F77FA" w:rsidRDefault="000F77FA">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_Toc24552034 \h </w:instrText>
      </w:r>
      <w:r>
        <w:rPr>
          <w:noProof/>
        </w:rPr>
      </w:r>
      <w:r>
        <w:rPr>
          <w:noProof/>
        </w:rPr>
        <w:fldChar w:fldCharType="separate"/>
      </w:r>
      <w:r>
        <w:rPr>
          <w:noProof/>
        </w:rPr>
        <w:t>13</w:t>
      </w:r>
      <w:r>
        <w:rPr>
          <w:noProof/>
        </w:rPr>
        <w:fldChar w:fldCharType="end"/>
      </w:r>
    </w:p>
    <w:p w14:paraId="4C194BAF" w14:textId="7C7E60C3" w:rsidR="001C6C9B" w:rsidRPr="00D12B8C" w:rsidRDefault="001C6C9B" w:rsidP="00D12B8C">
      <w:r>
        <w:fldChar w:fldCharType="end"/>
      </w:r>
    </w:p>
    <w:p w14:paraId="7DD78D3A" w14:textId="77777777" w:rsidR="007E1F66" w:rsidRDefault="007E1F66" w:rsidP="006B4A4F">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6B4A4F">
      <w:pPr>
        <w:pStyle w:val="eTRMHeading3"/>
      </w:pPr>
      <w:bookmarkStart w:id="0" w:name="_Toc486490839"/>
      <w:bookmarkStart w:id="1" w:name="_Toc486580912"/>
      <w:bookmarkStart w:id="2" w:name="_Toc24552011"/>
      <w:r w:rsidRPr="007E1F66">
        <w:lastRenderedPageBreak/>
        <w:t>Measure Name</w:t>
      </w:r>
      <w:bookmarkEnd w:id="0"/>
      <w:bookmarkEnd w:id="1"/>
      <w:bookmarkEnd w:id="2"/>
    </w:p>
    <w:p w14:paraId="447CCF0F" w14:textId="4969A04B" w:rsidR="00520182" w:rsidRDefault="00AE3944" w:rsidP="00151553">
      <w:r>
        <w:t>Packaged Air Conditioner Heat Recovery, Commercial</w:t>
      </w:r>
    </w:p>
    <w:p w14:paraId="6F183060" w14:textId="77777777" w:rsidR="00AE3944" w:rsidRDefault="00AE3944" w:rsidP="00151553"/>
    <w:p w14:paraId="32CEC67B" w14:textId="7D0548E2" w:rsidR="00F860EE" w:rsidRPr="007E1F66" w:rsidRDefault="00F860EE" w:rsidP="006B4A4F">
      <w:pPr>
        <w:pStyle w:val="eTRMHeading3"/>
      </w:pPr>
      <w:bookmarkStart w:id="3" w:name="_Toc24552012"/>
      <w:r>
        <w:t>Statewide Measure ID</w:t>
      </w:r>
      <w:bookmarkEnd w:id="3"/>
    </w:p>
    <w:p w14:paraId="04CC75C5" w14:textId="74372733" w:rsidR="00F860EE" w:rsidRDefault="00AE3944" w:rsidP="00151553">
      <w:r>
        <w:t>SWHC048-01</w:t>
      </w:r>
    </w:p>
    <w:p w14:paraId="372FD25B" w14:textId="77777777" w:rsidR="00F860EE" w:rsidRPr="00401C43" w:rsidRDefault="00F860EE" w:rsidP="00151553"/>
    <w:p w14:paraId="0F7CA2E6" w14:textId="77777777" w:rsidR="00E70CBD" w:rsidRPr="00154391" w:rsidRDefault="00E70CBD" w:rsidP="006B4A4F">
      <w:pPr>
        <w:pStyle w:val="eTRMHeading3"/>
      </w:pPr>
      <w:bookmarkStart w:id="4" w:name="_Toc486490847"/>
      <w:bookmarkStart w:id="5" w:name="_Toc486580918"/>
      <w:bookmarkStart w:id="6" w:name="_Toc24552013"/>
      <w:r w:rsidRPr="00154391">
        <w:t>Technology Summary</w:t>
      </w:r>
      <w:bookmarkEnd w:id="4"/>
      <w:bookmarkEnd w:id="5"/>
      <w:bookmarkEnd w:id="6"/>
      <w:r w:rsidRPr="00154391">
        <w:t xml:space="preserve"> </w:t>
      </w:r>
    </w:p>
    <w:p w14:paraId="624BAA82" w14:textId="59CCFC93" w:rsidR="00880BAD" w:rsidRDefault="00880BAD" w:rsidP="00880BAD">
      <w:r w:rsidRPr="00880BAD">
        <w:t xml:space="preserve">Heat-Recovery </w:t>
      </w:r>
      <w:r w:rsidR="00AE3944">
        <w:t>from a packaged air conditioner rooftop unit (RTU) will</w:t>
      </w:r>
      <w:r w:rsidRPr="00880BAD">
        <w:t xml:space="preserve"> reduce the energy required for water heating </w:t>
      </w:r>
      <w:proofErr w:type="gramStart"/>
      <w:r w:rsidRPr="00880BAD">
        <w:t>through the use of</w:t>
      </w:r>
      <w:proofErr w:type="gramEnd"/>
      <w:r w:rsidRPr="00880BAD">
        <w:t xml:space="preserve"> the waste heat from the RTU air conditioning cycle. The waste heat preheat</w:t>
      </w:r>
      <w:r w:rsidR="00AE3944">
        <w:t>s</w:t>
      </w:r>
      <w:r w:rsidRPr="00880BAD">
        <w:t xml:space="preserve"> the incoming water from the main; once the water has been preheated it is directed into a storage tank where it will be available upon demand. When there is hot water demand, the preheated water will route into the water heater to be raised to </w:t>
      </w:r>
      <w:r w:rsidR="00AE3944">
        <w:t>setpoint</w:t>
      </w:r>
      <w:r w:rsidRPr="00880BAD">
        <w:t xml:space="preserve"> temperature. </w:t>
      </w:r>
    </w:p>
    <w:p w14:paraId="792DA841" w14:textId="77777777" w:rsidR="00AE3944" w:rsidRDefault="00AE3944" w:rsidP="00BB3764">
      <w:pPr>
        <w:keepNext/>
        <w:keepLines/>
        <w:jc w:val="center"/>
        <w:rPr>
          <w:b/>
          <w:bCs/>
        </w:rPr>
      </w:pPr>
      <w:r w:rsidRPr="00880BAD">
        <w:rPr>
          <w:noProof/>
        </w:rPr>
        <w:drawing>
          <wp:inline distT="0" distB="0" distL="0" distR="0" wp14:anchorId="51C7692A" wp14:editId="5F99ED86">
            <wp:extent cx="4389120" cy="26895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89120" cy="2689529"/>
                    </a:xfrm>
                    <a:prstGeom prst="rect">
                      <a:avLst/>
                    </a:prstGeom>
                    <a:noFill/>
                    <a:ln>
                      <a:noFill/>
                    </a:ln>
                  </pic:spPr>
                </pic:pic>
              </a:graphicData>
            </a:graphic>
          </wp:inline>
        </w:drawing>
      </w:r>
    </w:p>
    <w:p w14:paraId="2771BF5F" w14:textId="1DC3BCC6" w:rsidR="00AE3944" w:rsidRPr="00880BAD" w:rsidRDefault="00AE3944" w:rsidP="00BB3764">
      <w:pPr>
        <w:keepNext/>
        <w:keepLines/>
        <w:jc w:val="center"/>
        <w:rPr>
          <w:b/>
          <w:bCs/>
        </w:rPr>
      </w:pPr>
      <w:r w:rsidRPr="00880BAD">
        <w:rPr>
          <w:b/>
          <w:bCs/>
        </w:rPr>
        <w:t xml:space="preserve"> Typical HR-RTU System Architecture</w:t>
      </w:r>
    </w:p>
    <w:p w14:paraId="758C6E56" w14:textId="77777777" w:rsidR="00AE3944" w:rsidRPr="00880BAD" w:rsidRDefault="00AE3944" w:rsidP="00880BAD"/>
    <w:p w14:paraId="0BD92767" w14:textId="18866AF9" w:rsidR="00880BAD" w:rsidRPr="00880BAD" w:rsidRDefault="00880BAD" w:rsidP="00880BAD">
      <w:r w:rsidRPr="00880BAD">
        <w:t xml:space="preserve">In a typical setting, waste heat </w:t>
      </w:r>
      <w:r w:rsidR="00AE3944">
        <w:t>that originates</w:t>
      </w:r>
      <w:r w:rsidR="00AE3944" w:rsidRPr="00880BAD">
        <w:t xml:space="preserve"> </w:t>
      </w:r>
      <w:r w:rsidRPr="00880BAD">
        <w:t>in the building interior is rejected via an air-cooled condenser in the RTU to the atmosphere. With a</w:t>
      </w:r>
      <w:r w:rsidR="00AE3944">
        <w:t>n RTU with</w:t>
      </w:r>
      <w:r w:rsidRPr="00880BAD">
        <w:t xml:space="preserve"> heat</w:t>
      </w:r>
      <w:r w:rsidR="00AE3944">
        <w:t xml:space="preserve"> </w:t>
      </w:r>
      <w:r w:rsidRPr="00880BAD">
        <w:t>recovery</w:t>
      </w:r>
      <w:r w:rsidR="00AE3944">
        <w:t xml:space="preserve"> capability</w:t>
      </w:r>
      <w:r w:rsidRPr="00880BAD">
        <w:t xml:space="preserve">, the heat is instead transferred via a refrigerant-to-water heat exchanger to the incoming water. This offsets the water heater natural gas consumption by having the RTU increase the main water temperature prior to entering the water heater.   </w:t>
      </w:r>
    </w:p>
    <w:p w14:paraId="6FB38F51" w14:textId="37BEE190" w:rsidR="00AE3944" w:rsidRDefault="00880BAD" w:rsidP="00880BAD">
      <w:r w:rsidRPr="00880BAD">
        <w:t xml:space="preserve">The energy savings are proportional to the change in </w:t>
      </w:r>
      <w:r w:rsidR="00AE3944">
        <w:t xml:space="preserve">water </w:t>
      </w:r>
      <w:r w:rsidRPr="00880BAD">
        <w:t>temperature between the water main and the water heater inlet; this is the “free” heat from the RTU that would have been rejected into the environment. While the equipment</w:t>
      </w:r>
      <w:r w:rsidR="00AE3944">
        <w:t>,</w:t>
      </w:r>
      <w:r w:rsidRPr="00880BAD">
        <w:t xml:space="preserve"> itself</w:t>
      </w:r>
      <w:r w:rsidR="00AE3944">
        <w:t>,</w:t>
      </w:r>
      <w:r w:rsidRPr="00880BAD">
        <w:t xml:space="preserve"> is integrated in an RTU for space conditioning, this is a water heating measure.  Savings </w:t>
      </w:r>
      <w:r w:rsidR="00AE3944">
        <w:t>as a result of</w:t>
      </w:r>
      <w:r w:rsidR="00AE3944" w:rsidRPr="00880BAD">
        <w:t xml:space="preserve"> </w:t>
      </w:r>
      <w:r w:rsidRPr="00880BAD">
        <w:t xml:space="preserve">this measure are directly dependent </w:t>
      </w:r>
      <w:r w:rsidR="00AE3944">
        <w:t>on</w:t>
      </w:r>
      <w:r w:rsidR="00AE3944" w:rsidRPr="00880BAD">
        <w:t xml:space="preserve"> </w:t>
      </w:r>
      <w:r w:rsidRPr="00880BAD">
        <w:t xml:space="preserve">the </w:t>
      </w:r>
      <w:r w:rsidR="00AE3944">
        <w:t xml:space="preserve">space </w:t>
      </w:r>
      <w:r w:rsidRPr="00880BAD">
        <w:t>cooling demand</w:t>
      </w:r>
      <w:r w:rsidR="00C01675">
        <w:t>,</w:t>
      </w:r>
      <w:r w:rsidRPr="00880BAD">
        <w:t xml:space="preserve"> which makes this a weather sensitive measure. </w:t>
      </w:r>
    </w:p>
    <w:p w14:paraId="5BF46262" w14:textId="22A4855F" w:rsidR="00880BAD" w:rsidRDefault="00880BAD" w:rsidP="00880BAD">
      <w:r w:rsidRPr="00880BAD">
        <w:t xml:space="preserve">Currently, only </w:t>
      </w:r>
      <w:r w:rsidR="006952B0" w:rsidRPr="00880BAD">
        <w:t>10-</w:t>
      </w:r>
      <w:r w:rsidR="00AE3944">
        <w:t>ton</w:t>
      </w:r>
      <w:r w:rsidR="006952B0" w:rsidRPr="00880BAD">
        <w:t xml:space="preserve"> and 15-ton</w:t>
      </w:r>
      <w:r w:rsidRPr="00880BAD">
        <w:t xml:space="preserve"> cooling capacity </w:t>
      </w:r>
      <w:r w:rsidR="00272C35">
        <w:t>units</w:t>
      </w:r>
      <w:r w:rsidR="00272C35" w:rsidRPr="00880BAD">
        <w:t xml:space="preserve"> </w:t>
      </w:r>
      <w:r w:rsidR="00AE3944">
        <w:t xml:space="preserve">are </w:t>
      </w:r>
      <w:r w:rsidRPr="00880BAD">
        <w:t>available</w:t>
      </w:r>
      <w:r w:rsidR="00AE3944">
        <w:t xml:space="preserve"> in the market; </w:t>
      </w:r>
      <w:r w:rsidR="006B4A4F">
        <w:t xml:space="preserve">the savings and costs developed for this measure are based upon </w:t>
      </w:r>
      <w:r w:rsidRPr="00880BAD">
        <w:t xml:space="preserve">a </w:t>
      </w:r>
      <w:r w:rsidR="00BD2C9F" w:rsidRPr="00880BAD">
        <w:t>10-ton</w:t>
      </w:r>
      <w:r w:rsidRPr="00880BAD">
        <w:t xml:space="preserve"> cooling RTU unit. </w:t>
      </w:r>
    </w:p>
    <w:p w14:paraId="67E9C558" w14:textId="75B92712" w:rsidR="00880BAD" w:rsidRPr="00880BAD" w:rsidRDefault="00880BAD" w:rsidP="00880BAD">
      <w:r w:rsidRPr="00880BAD">
        <w:lastRenderedPageBreak/>
        <w:t>Additional benefits</w:t>
      </w:r>
      <w:r w:rsidR="00BB3764">
        <w:t xml:space="preserve"> associated with this measure</w:t>
      </w:r>
      <w:r w:rsidRPr="00880BAD">
        <w:t xml:space="preserve"> include:</w:t>
      </w:r>
    </w:p>
    <w:p w14:paraId="0E44BA95" w14:textId="5B5D81E0" w:rsidR="00880BAD" w:rsidRPr="00880BAD" w:rsidRDefault="00880BAD" w:rsidP="007331D5">
      <w:pPr>
        <w:pStyle w:val="eTRMBulletedText"/>
      </w:pPr>
      <w:r w:rsidRPr="005306AE">
        <w:rPr>
          <w:i/>
          <w:iCs/>
        </w:rPr>
        <w:t>Increased water heating capacity</w:t>
      </w:r>
      <w:r w:rsidR="00BB3764" w:rsidRPr="005306AE">
        <w:rPr>
          <w:i/>
          <w:iCs/>
        </w:rPr>
        <w:t xml:space="preserve">: </w:t>
      </w:r>
      <w:proofErr w:type="gramStart"/>
      <w:r w:rsidR="00BB3764">
        <w:t>A</w:t>
      </w:r>
      <w:proofErr w:type="gramEnd"/>
      <w:r w:rsidRPr="00880BAD">
        <w:t xml:space="preserve"> RTU </w:t>
      </w:r>
      <w:r w:rsidR="00BB3764">
        <w:t xml:space="preserve">with heat recovery </w:t>
      </w:r>
      <w:r w:rsidRPr="00880BAD">
        <w:t>increases the total hot water that can be provided by the existing hot water heater.</w:t>
      </w:r>
    </w:p>
    <w:p w14:paraId="7DB69209" w14:textId="07CBF8A0" w:rsidR="00880BAD" w:rsidRPr="00880BAD" w:rsidRDefault="00880BAD" w:rsidP="007331D5">
      <w:pPr>
        <w:pStyle w:val="eTRMBulletedText"/>
      </w:pPr>
      <w:r w:rsidRPr="005306AE">
        <w:rPr>
          <w:i/>
          <w:iCs/>
        </w:rPr>
        <w:t>Backup water heating capabilities</w:t>
      </w:r>
      <w:r w:rsidR="00BB3764" w:rsidRPr="005306AE">
        <w:rPr>
          <w:i/>
          <w:iCs/>
        </w:rPr>
        <w:t xml:space="preserve">: </w:t>
      </w:r>
      <w:r w:rsidR="00BB3764">
        <w:t>S</w:t>
      </w:r>
      <w:r w:rsidRPr="00880BAD">
        <w:t xml:space="preserve">hould the building hot water heater fail, </w:t>
      </w:r>
      <w:r w:rsidR="00BB3764">
        <w:t xml:space="preserve">an </w:t>
      </w:r>
      <w:r w:rsidRPr="00880BAD">
        <w:t xml:space="preserve">RTU </w:t>
      </w:r>
      <w:r w:rsidR="00BB3764">
        <w:t xml:space="preserve">with heat recovery </w:t>
      </w:r>
      <w:r w:rsidRPr="00880BAD">
        <w:t>can provide hot water at up to ~125</w:t>
      </w:r>
      <w:r w:rsidR="00BB3764">
        <w:t xml:space="preserve"> </w:t>
      </w:r>
      <w:r w:rsidRPr="00880BAD">
        <w:t xml:space="preserve">°F between 80 </w:t>
      </w:r>
      <w:r w:rsidR="00BB3764" w:rsidRPr="00880BAD">
        <w:t xml:space="preserve">kBtu/hr </w:t>
      </w:r>
      <w:r w:rsidRPr="00880BAD">
        <w:t xml:space="preserve">and 220 kBtu/hr, </w:t>
      </w:r>
      <w:r w:rsidR="00C01675" w:rsidRPr="00880BAD">
        <w:t>provid</w:t>
      </w:r>
      <w:r w:rsidR="00C01675">
        <w:t>ed</w:t>
      </w:r>
      <w:r w:rsidR="00C01675" w:rsidRPr="00880BAD">
        <w:t xml:space="preserve"> </w:t>
      </w:r>
      <w:r w:rsidRPr="00880BAD">
        <w:t xml:space="preserve">there is </w:t>
      </w:r>
      <w:proofErr w:type="gramStart"/>
      <w:r w:rsidRPr="00880BAD">
        <w:t>sufficient</w:t>
      </w:r>
      <w:proofErr w:type="gramEnd"/>
      <w:r w:rsidRPr="00880BAD">
        <w:t xml:space="preserve"> space cooling demand</w:t>
      </w:r>
      <w:r w:rsidR="00BB3764">
        <w:t>.</w:t>
      </w:r>
      <w:r w:rsidRPr="00880BAD">
        <w:rPr>
          <w:vertAlign w:val="superscript"/>
        </w:rPr>
        <w:footnoteReference w:id="1"/>
      </w:r>
    </w:p>
    <w:p w14:paraId="5127C5AF" w14:textId="77777777" w:rsidR="00082725" w:rsidRPr="00082725" w:rsidRDefault="00082725" w:rsidP="00F8464D">
      <w:pPr>
        <w:rPr>
          <w:b/>
          <w:bCs/>
        </w:rPr>
      </w:pPr>
    </w:p>
    <w:p w14:paraId="5AF18021" w14:textId="77777777" w:rsidR="007D230B" w:rsidRPr="004B06E3" w:rsidRDefault="007D230B" w:rsidP="006B4A4F">
      <w:pPr>
        <w:pStyle w:val="eTRMHeading3"/>
      </w:pPr>
      <w:bookmarkStart w:id="7" w:name="_Toc486490848"/>
      <w:bookmarkStart w:id="8" w:name="_Toc486580919"/>
      <w:bookmarkStart w:id="9" w:name="_Toc24552014"/>
      <w:r w:rsidRPr="004B06E3">
        <w:t>Measure Case Description</w:t>
      </w:r>
      <w:bookmarkEnd w:id="7"/>
      <w:bookmarkEnd w:id="8"/>
      <w:bookmarkEnd w:id="9"/>
    </w:p>
    <w:p w14:paraId="6DFD1765" w14:textId="50EA889C" w:rsidR="00A67322" w:rsidRDefault="00523F9B" w:rsidP="00DA6088">
      <w:r>
        <w:t xml:space="preserve">The measure case is defined as </w:t>
      </w:r>
      <w:r w:rsidR="00A07230" w:rsidRPr="00A07230">
        <w:t xml:space="preserve">a </w:t>
      </w:r>
      <w:r w:rsidR="00BB3764">
        <w:t xml:space="preserve">packaged air conditioner with </w:t>
      </w:r>
      <w:r w:rsidR="00BB3764" w:rsidRPr="00BB3764">
        <w:t>heat recovery capabilities, i.e.,</w:t>
      </w:r>
      <w:r w:rsidR="00A07230" w:rsidRPr="00BB3764">
        <w:t xml:space="preserve"> </w:t>
      </w:r>
      <w:r w:rsidR="00A07230" w:rsidRPr="00A07230">
        <w:t>that is equipped with an air-to-water heat exchanger to preheat service hot water.</w:t>
      </w:r>
    </w:p>
    <w:p w14:paraId="0FB4B800" w14:textId="77777777" w:rsidR="006952B0" w:rsidRPr="006952B0" w:rsidRDefault="006952B0" w:rsidP="00931868">
      <w:pPr>
        <w:pStyle w:val="Caption"/>
      </w:pPr>
      <w:bookmarkStart w:id="10" w:name="_Toc526322816"/>
      <w:r w:rsidRPr="006952B0">
        <w:t>Measures Offerings</w:t>
      </w:r>
      <w:bookmarkEnd w:id="10"/>
    </w:p>
    <w:tbl>
      <w:tblPr>
        <w:tblW w:w="355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58"/>
        <w:gridCol w:w="4684"/>
      </w:tblGrid>
      <w:tr w:rsidR="006952B0" w:rsidRPr="00583BBA" w14:paraId="1FF83F54" w14:textId="77777777" w:rsidTr="00583BBA">
        <w:trPr>
          <w:trHeight w:val="288"/>
        </w:trPr>
        <w:tc>
          <w:tcPr>
            <w:tcW w:w="1474" w:type="pct"/>
            <w:shd w:val="clear" w:color="auto" w:fill="F2F2F2" w:themeFill="background1" w:themeFillShade="F2"/>
            <w:vAlign w:val="center"/>
          </w:tcPr>
          <w:p w14:paraId="23038F4D" w14:textId="77777777" w:rsidR="006952B0" w:rsidRPr="00583BBA" w:rsidRDefault="006952B0" w:rsidP="006952B0">
            <w:pPr>
              <w:keepNext/>
              <w:spacing w:before="0" w:after="0" w:line="240" w:lineRule="auto"/>
              <w:jc w:val="center"/>
              <w:rPr>
                <w:rFonts w:eastAsia="Times New Roman" w:cs="Calibri Light"/>
                <w:b/>
                <w:bCs/>
                <w:sz w:val="20"/>
                <w:szCs w:val="3260"/>
              </w:rPr>
            </w:pPr>
            <w:r w:rsidRPr="00583BBA">
              <w:rPr>
                <w:rFonts w:eastAsia="Times New Roman" w:cs="Calibri Light"/>
                <w:b/>
                <w:bCs/>
                <w:sz w:val="20"/>
                <w:szCs w:val="3260"/>
              </w:rPr>
              <w:t>Statewide Measure</w:t>
            </w:r>
          </w:p>
          <w:p w14:paraId="5A9D3265" w14:textId="77777777" w:rsidR="006952B0" w:rsidRPr="00583BBA" w:rsidRDefault="006952B0" w:rsidP="006952B0">
            <w:pPr>
              <w:keepNext/>
              <w:spacing w:before="0" w:after="0" w:line="240" w:lineRule="auto"/>
              <w:jc w:val="center"/>
              <w:rPr>
                <w:rFonts w:eastAsia="Times New Roman" w:cs="Calibri Light"/>
                <w:sz w:val="20"/>
                <w:szCs w:val="3260"/>
              </w:rPr>
            </w:pPr>
            <w:r w:rsidRPr="00583BBA">
              <w:rPr>
                <w:rFonts w:eastAsia="Times New Roman" w:cs="Calibri Light"/>
                <w:b/>
                <w:bCs/>
                <w:sz w:val="20"/>
                <w:szCs w:val="3260"/>
              </w:rPr>
              <w:t>Offering ID</w:t>
            </w:r>
          </w:p>
        </w:tc>
        <w:tc>
          <w:tcPr>
            <w:tcW w:w="3526" w:type="pct"/>
            <w:shd w:val="clear" w:color="auto" w:fill="F2F2F2" w:themeFill="background1" w:themeFillShade="F2"/>
            <w:vAlign w:val="center"/>
          </w:tcPr>
          <w:p w14:paraId="5BA33A16" w14:textId="77777777" w:rsidR="006952B0" w:rsidRPr="00583BBA" w:rsidRDefault="006952B0" w:rsidP="006952B0">
            <w:pPr>
              <w:keepNext/>
              <w:spacing w:before="0" w:after="0" w:line="240" w:lineRule="auto"/>
              <w:jc w:val="center"/>
              <w:rPr>
                <w:rFonts w:eastAsia="Times New Roman" w:cs="Calibri Light"/>
                <w:b/>
                <w:bCs/>
                <w:sz w:val="20"/>
                <w:szCs w:val="3260"/>
              </w:rPr>
            </w:pPr>
            <w:r w:rsidRPr="00583BBA">
              <w:rPr>
                <w:rFonts w:eastAsia="Times New Roman" w:cs="Calibri Light"/>
                <w:b/>
                <w:bCs/>
                <w:sz w:val="20"/>
                <w:szCs w:val="3260"/>
              </w:rPr>
              <w:t>Measure Offering Descriptions</w:t>
            </w:r>
          </w:p>
        </w:tc>
      </w:tr>
      <w:tr w:rsidR="006952B0" w:rsidRPr="00583BBA" w14:paraId="2C030F0A" w14:textId="77777777" w:rsidTr="00583BBA">
        <w:trPr>
          <w:trHeight w:val="288"/>
        </w:trPr>
        <w:tc>
          <w:tcPr>
            <w:tcW w:w="1474" w:type="pct"/>
            <w:shd w:val="clear" w:color="auto" w:fill="auto"/>
            <w:vAlign w:val="center"/>
          </w:tcPr>
          <w:p w14:paraId="11A22B1F" w14:textId="5087A5F5" w:rsidR="006952B0" w:rsidRPr="00583BBA" w:rsidRDefault="00BB3764" w:rsidP="006952B0">
            <w:pPr>
              <w:keepNext/>
              <w:spacing w:before="0" w:after="0" w:line="240" w:lineRule="auto"/>
              <w:jc w:val="center"/>
              <w:rPr>
                <w:rFonts w:eastAsia="Times New Roman" w:cs="Calibri Light"/>
                <w:sz w:val="20"/>
                <w:szCs w:val="3260"/>
              </w:rPr>
            </w:pPr>
            <w:r w:rsidRPr="00583BBA">
              <w:rPr>
                <w:rFonts w:eastAsia="Times New Roman" w:cs="Calibri Light"/>
                <w:sz w:val="20"/>
                <w:szCs w:val="3260"/>
              </w:rPr>
              <w:t>SWHC048-01A</w:t>
            </w:r>
          </w:p>
        </w:tc>
        <w:tc>
          <w:tcPr>
            <w:tcW w:w="3526" w:type="pct"/>
            <w:shd w:val="clear" w:color="auto" w:fill="auto"/>
            <w:vAlign w:val="center"/>
          </w:tcPr>
          <w:p w14:paraId="155D012E" w14:textId="2FB0A748" w:rsidR="006952B0" w:rsidRPr="00583BBA" w:rsidRDefault="006952B0" w:rsidP="006952B0">
            <w:pPr>
              <w:keepNext/>
              <w:spacing w:before="0" w:after="0" w:line="240" w:lineRule="auto"/>
              <w:jc w:val="center"/>
              <w:rPr>
                <w:rFonts w:eastAsia="Times New Roman" w:cs="Calibri Light"/>
                <w:sz w:val="20"/>
                <w:szCs w:val="3260"/>
              </w:rPr>
            </w:pPr>
            <w:r w:rsidRPr="00583BBA">
              <w:rPr>
                <w:rFonts w:eastAsia="Times New Roman" w:cs="Calibri Light"/>
                <w:sz w:val="20"/>
                <w:szCs w:val="3260"/>
              </w:rPr>
              <w:t>Heat-Recovery Rooftop Unit</w:t>
            </w:r>
          </w:p>
        </w:tc>
      </w:tr>
    </w:tbl>
    <w:p w14:paraId="428D3761" w14:textId="77777777" w:rsidR="00DA6088" w:rsidRPr="000C5BA6" w:rsidRDefault="00DA6088" w:rsidP="00DA6088">
      <w:pPr>
        <w:rPr>
          <w:szCs w:val="22"/>
        </w:rPr>
      </w:pPr>
    </w:p>
    <w:p w14:paraId="54FD79D6" w14:textId="77777777" w:rsidR="00E70CBD" w:rsidRPr="00171BB8" w:rsidRDefault="00E70CBD" w:rsidP="006B4A4F">
      <w:pPr>
        <w:pStyle w:val="eTRMHeading3"/>
      </w:pPr>
      <w:bookmarkStart w:id="11" w:name="_Toc486490849"/>
      <w:bookmarkStart w:id="12" w:name="_Toc486580920"/>
      <w:bookmarkStart w:id="13" w:name="_Toc24552015"/>
      <w:r w:rsidRPr="004B06E3">
        <w:t>Base Case Description</w:t>
      </w:r>
      <w:bookmarkEnd w:id="11"/>
      <w:bookmarkEnd w:id="12"/>
      <w:bookmarkEnd w:id="13"/>
      <w:r w:rsidRPr="00171BB8">
        <w:t xml:space="preserve"> </w:t>
      </w:r>
    </w:p>
    <w:p w14:paraId="6D67F546" w14:textId="0D792990" w:rsidR="00A67322" w:rsidRPr="006952B0" w:rsidRDefault="00F8464D" w:rsidP="00DA6088">
      <w:r>
        <w:t>The base case is defined as</w:t>
      </w:r>
      <w:r w:rsidR="006952B0">
        <w:t xml:space="preserve"> </w:t>
      </w:r>
      <w:r w:rsidR="00BB3764">
        <w:t xml:space="preserve">a packaged air conditioner rooftop unit without </w:t>
      </w:r>
      <w:r w:rsidR="00BB3764" w:rsidRPr="00A07230">
        <w:t>an air-to-water heat exchanger</w:t>
      </w:r>
      <w:r w:rsidR="006952B0" w:rsidRPr="00611820">
        <w:rPr>
          <w:szCs w:val="20"/>
        </w:rPr>
        <w:t>.</w:t>
      </w:r>
    </w:p>
    <w:p w14:paraId="2A6B53FD" w14:textId="5B3B99D8" w:rsidR="006007C4" w:rsidRDefault="006007C4" w:rsidP="00DA6088"/>
    <w:p w14:paraId="1889E044" w14:textId="77777777" w:rsidR="00C276AA" w:rsidRPr="00D60987" w:rsidRDefault="00C276AA" w:rsidP="00DA6088"/>
    <w:p w14:paraId="7D9DA4A6" w14:textId="77777777" w:rsidR="007D230B" w:rsidRPr="00171BB8" w:rsidRDefault="007D230B" w:rsidP="006B4A4F">
      <w:pPr>
        <w:pStyle w:val="eTRMHeading3"/>
      </w:pPr>
      <w:bookmarkStart w:id="14" w:name="_Toc486490850"/>
      <w:bookmarkStart w:id="15" w:name="_Toc486580921"/>
      <w:bookmarkStart w:id="16" w:name="_Toc24552016"/>
      <w:r w:rsidRPr="004B06E3">
        <w:t>Code Requirements</w:t>
      </w:r>
      <w:bookmarkEnd w:id="14"/>
      <w:bookmarkEnd w:id="15"/>
      <w:bookmarkEnd w:id="16"/>
    </w:p>
    <w:p w14:paraId="1ED6B8FC" w14:textId="7C3C437D" w:rsidR="00880BAD" w:rsidRPr="00C276AA" w:rsidRDefault="00880BAD" w:rsidP="00C276AA">
      <w:r w:rsidRPr="00C276AA">
        <w:t xml:space="preserve">There are currently no federal or regional codes that impact </w:t>
      </w:r>
      <w:r w:rsidR="00A2016D">
        <w:t xml:space="preserve">air conditioner rooftop units with heat recovery. </w:t>
      </w:r>
    </w:p>
    <w:p w14:paraId="7E96141F" w14:textId="6F9FD2A9" w:rsidR="00FD2C54" w:rsidRPr="00C276AA" w:rsidRDefault="00FD2C54" w:rsidP="00931868">
      <w:pPr>
        <w:pStyle w:val="Caption"/>
      </w:pPr>
      <w:r w:rsidRPr="00C276AA">
        <w:t>Applicable State and Federal Codes and Standards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520"/>
        <w:gridCol w:w="2250"/>
      </w:tblGrid>
      <w:tr w:rsidR="00FC77BB" w:rsidRPr="00154391" w14:paraId="4623D54B" w14:textId="689B6080" w:rsidTr="00880BAD">
        <w:trPr>
          <w:cantSplit/>
          <w:trHeight w:val="20"/>
        </w:trPr>
        <w:tc>
          <w:tcPr>
            <w:tcW w:w="4765" w:type="dxa"/>
            <w:shd w:val="clear" w:color="auto" w:fill="F2F2F2" w:themeFill="background1" w:themeFillShade="F2"/>
            <w:vAlign w:val="bottom"/>
          </w:tcPr>
          <w:p w14:paraId="5E8EE0C5" w14:textId="77777777" w:rsidR="00FC77BB" w:rsidRPr="00154391" w:rsidRDefault="00FC77BB" w:rsidP="00507CD4">
            <w:pPr>
              <w:keepNext/>
              <w:keepLines/>
              <w:spacing w:before="0" w:after="0" w:line="240" w:lineRule="auto"/>
              <w:jc w:val="center"/>
              <w:rPr>
                <w:b/>
                <w:sz w:val="20"/>
                <w:szCs w:val="20"/>
              </w:rPr>
            </w:pPr>
            <w:r w:rsidRPr="0079498E">
              <w:rPr>
                <w:b/>
                <w:sz w:val="20"/>
              </w:rPr>
              <w:t>Code</w:t>
            </w:r>
          </w:p>
        </w:tc>
        <w:tc>
          <w:tcPr>
            <w:tcW w:w="2520" w:type="dxa"/>
            <w:shd w:val="clear" w:color="auto" w:fill="F2F2F2" w:themeFill="background1" w:themeFillShade="F2"/>
            <w:vAlign w:val="bottom"/>
          </w:tcPr>
          <w:p w14:paraId="2A51DAFB" w14:textId="77777777" w:rsidR="00FC77BB" w:rsidRPr="00154391" w:rsidRDefault="00FC77BB" w:rsidP="00507CD4">
            <w:pPr>
              <w:keepNext/>
              <w:keepLines/>
              <w:spacing w:before="0" w:after="0" w:line="240" w:lineRule="auto"/>
              <w:jc w:val="center"/>
              <w:rPr>
                <w:b/>
                <w:sz w:val="20"/>
                <w:szCs w:val="20"/>
              </w:rPr>
            </w:pPr>
            <w:r w:rsidRPr="0079498E">
              <w:rPr>
                <w:b/>
                <w:sz w:val="20"/>
              </w:rPr>
              <w:t>Applicable Code Reference</w:t>
            </w:r>
          </w:p>
        </w:tc>
        <w:tc>
          <w:tcPr>
            <w:tcW w:w="2250" w:type="dxa"/>
            <w:shd w:val="clear" w:color="auto" w:fill="F2F2F2" w:themeFill="background1" w:themeFillShade="F2"/>
            <w:vAlign w:val="bottom"/>
          </w:tcPr>
          <w:p w14:paraId="214A9ADD" w14:textId="77777777" w:rsidR="00FC77BB" w:rsidRPr="00154391" w:rsidRDefault="00FC77BB" w:rsidP="00507CD4">
            <w:pPr>
              <w:keepNext/>
              <w:keepLines/>
              <w:spacing w:before="0" w:after="0" w:line="240" w:lineRule="auto"/>
              <w:jc w:val="center"/>
              <w:rPr>
                <w:b/>
                <w:sz w:val="20"/>
                <w:szCs w:val="20"/>
              </w:rPr>
            </w:pPr>
            <w:r w:rsidRPr="0079498E">
              <w:rPr>
                <w:b/>
                <w:sz w:val="20"/>
              </w:rPr>
              <w:t>Effective Date</w:t>
            </w:r>
          </w:p>
        </w:tc>
      </w:tr>
      <w:tr w:rsidR="00FC77BB" w:rsidRPr="00FB030E" w14:paraId="782F7264" w14:textId="345CFA23" w:rsidTr="005F3C1C">
        <w:trPr>
          <w:cantSplit/>
          <w:trHeight w:val="20"/>
        </w:trPr>
        <w:tc>
          <w:tcPr>
            <w:tcW w:w="4765" w:type="dxa"/>
            <w:shd w:val="clear" w:color="auto" w:fill="auto"/>
            <w:vAlign w:val="center"/>
          </w:tcPr>
          <w:p w14:paraId="67BA833F" w14:textId="71FC8461" w:rsidR="00FC77BB" w:rsidRPr="00BD6838" w:rsidRDefault="00FC77BB" w:rsidP="005F3C1C">
            <w:pPr>
              <w:keepNext/>
              <w:keepLines/>
              <w:spacing w:before="0" w:after="0" w:line="240" w:lineRule="auto"/>
              <w:rPr>
                <w:sz w:val="20"/>
                <w:szCs w:val="20"/>
              </w:rPr>
            </w:pPr>
            <w:r w:rsidRPr="00BD6838">
              <w:rPr>
                <w:sz w:val="20"/>
              </w:rPr>
              <w:t>CA Appliance Efficiency Regulations – Title 20</w:t>
            </w:r>
          </w:p>
        </w:tc>
        <w:tc>
          <w:tcPr>
            <w:tcW w:w="2520" w:type="dxa"/>
            <w:shd w:val="clear" w:color="auto" w:fill="auto"/>
          </w:tcPr>
          <w:p w14:paraId="794A0264" w14:textId="2EF60BDF" w:rsidR="00FC77BB" w:rsidRPr="00FB030E" w:rsidRDefault="00BB3764" w:rsidP="00507CD4">
            <w:pPr>
              <w:keepNext/>
              <w:keepLines/>
              <w:spacing w:before="0" w:after="0" w:line="240" w:lineRule="auto"/>
              <w:jc w:val="center"/>
              <w:rPr>
                <w:sz w:val="20"/>
                <w:szCs w:val="20"/>
              </w:rPr>
            </w:pPr>
            <w:r>
              <w:rPr>
                <w:sz w:val="20"/>
                <w:szCs w:val="20"/>
              </w:rPr>
              <w:t>None.</w:t>
            </w:r>
          </w:p>
        </w:tc>
        <w:tc>
          <w:tcPr>
            <w:tcW w:w="2250" w:type="dxa"/>
            <w:shd w:val="clear" w:color="auto" w:fill="auto"/>
          </w:tcPr>
          <w:p w14:paraId="274AB5DC" w14:textId="30322E6C" w:rsidR="00FC77BB" w:rsidRPr="00FB030E" w:rsidRDefault="00BB3764" w:rsidP="00507CD4">
            <w:pPr>
              <w:keepNext/>
              <w:keepLines/>
              <w:spacing w:before="0" w:after="0" w:line="240" w:lineRule="auto"/>
              <w:jc w:val="center"/>
              <w:rPr>
                <w:sz w:val="20"/>
                <w:szCs w:val="20"/>
              </w:rPr>
            </w:pPr>
            <w:r>
              <w:rPr>
                <w:sz w:val="20"/>
                <w:szCs w:val="20"/>
              </w:rPr>
              <w:t>n/a</w:t>
            </w:r>
          </w:p>
        </w:tc>
      </w:tr>
      <w:tr w:rsidR="00FC77BB" w:rsidRPr="00FB030E" w14:paraId="1238F946" w14:textId="64CC1E4E" w:rsidTr="005F3C1C">
        <w:trPr>
          <w:cantSplit/>
          <w:trHeight w:val="20"/>
        </w:trPr>
        <w:tc>
          <w:tcPr>
            <w:tcW w:w="4765" w:type="dxa"/>
            <w:shd w:val="clear" w:color="auto" w:fill="auto"/>
            <w:vAlign w:val="center"/>
          </w:tcPr>
          <w:p w14:paraId="4F444C61" w14:textId="1F3ADED7" w:rsidR="00FC77BB" w:rsidRPr="00BD6838" w:rsidRDefault="00FC77BB" w:rsidP="005F3C1C">
            <w:pPr>
              <w:keepNext/>
              <w:keepLines/>
              <w:spacing w:before="0" w:after="0" w:line="240" w:lineRule="auto"/>
              <w:rPr>
                <w:sz w:val="20"/>
                <w:szCs w:val="20"/>
              </w:rPr>
            </w:pPr>
            <w:r w:rsidRPr="00BD6838">
              <w:rPr>
                <w:sz w:val="20"/>
              </w:rPr>
              <w:t>CA Building Energy Efficiency Standards – Title 24</w:t>
            </w:r>
            <w:r w:rsidR="00BB3764">
              <w:rPr>
                <w:sz w:val="20"/>
              </w:rPr>
              <w:t xml:space="preserve"> (2016)</w:t>
            </w:r>
          </w:p>
        </w:tc>
        <w:tc>
          <w:tcPr>
            <w:tcW w:w="2520" w:type="dxa"/>
            <w:shd w:val="clear" w:color="auto" w:fill="auto"/>
          </w:tcPr>
          <w:p w14:paraId="0A330E5E" w14:textId="019744DF" w:rsidR="00FC77BB" w:rsidRPr="00FB030E" w:rsidRDefault="00880BAD" w:rsidP="00507CD4">
            <w:pPr>
              <w:keepNext/>
              <w:keepLines/>
              <w:spacing w:before="0" w:after="0" w:line="240" w:lineRule="auto"/>
              <w:jc w:val="center"/>
              <w:rPr>
                <w:sz w:val="20"/>
                <w:szCs w:val="20"/>
              </w:rPr>
            </w:pPr>
            <w:r w:rsidRPr="00880BAD">
              <w:rPr>
                <w:sz w:val="20"/>
                <w:szCs w:val="20"/>
              </w:rPr>
              <w:t>Section: 110.2</w:t>
            </w:r>
          </w:p>
        </w:tc>
        <w:tc>
          <w:tcPr>
            <w:tcW w:w="2250" w:type="dxa"/>
            <w:shd w:val="clear" w:color="auto" w:fill="auto"/>
          </w:tcPr>
          <w:p w14:paraId="63BAD98E" w14:textId="2339CE4B" w:rsidR="00FC77BB" w:rsidRPr="00FB030E" w:rsidRDefault="00BB3764" w:rsidP="00507CD4">
            <w:pPr>
              <w:keepNext/>
              <w:keepLines/>
              <w:spacing w:before="0" w:after="0" w:line="240" w:lineRule="auto"/>
              <w:jc w:val="center"/>
              <w:rPr>
                <w:sz w:val="20"/>
                <w:szCs w:val="20"/>
              </w:rPr>
            </w:pPr>
            <w:r>
              <w:rPr>
                <w:sz w:val="20"/>
                <w:szCs w:val="20"/>
              </w:rPr>
              <w:t>January 1, 2016</w:t>
            </w:r>
          </w:p>
        </w:tc>
      </w:tr>
      <w:tr w:rsidR="00BB3764" w:rsidRPr="00FB030E" w14:paraId="23FB50B6" w14:textId="5078B94B" w:rsidTr="005F3C1C">
        <w:trPr>
          <w:cantSplit/>
          <w:trHeight w:val="20"/>
        </w:trPr>
        <w:tc>
          <w:tcPr>
            <w:tcW w:w="4765" w:type="dxa"/>
            <w:shd w:val="clear" w:color="auto" w:fill="auto"/>
            <w:vAlign w:val="center"/>
          </w:tcPr>
          <w:p w14:paraId="2EBFC05B" w14:textId="77777777" w:rsidR="00BB3764" w:rsidRPr="00BD6838" w:rsidRDefault="00BB3764" w:rsidP="00BB3764">
            <w:pPr>
              <w:keepNext/>
              <w:keepLines/>
              <w:spacing w:before="0" w:after="0" w:line="240" w:lineRule="auto"/>
              <w:rPr>
                <w:sz w:val="20"/>
                <w:szCs w:val="20"/>
              </w:rPr>
            </w:pPr>
            <w:r w:rsidRPr="00BD6838">
              <w:rPr>
                <w:sz w:val="20"/>
              </w:rPr>
              <w:t>Federal Standards</w:t>
            </w:r>
          </w:p>
        </w:tc>
        <w:tc>
          <w:tcPr>
            <w:tcW w:w="2520" w:type="dxa"/>
            <w:shd w:val="clear" w:color="auto" w:fill="auto"/>
          </w:tcPr>
          <w:p w14:paraId="0D43394E" w14:textId="7BABDE52" w:rsidR="00BB3764" w:rsidRPr="00FB030E" w:rsidRDefault="00BB3764" w:rsidP="00BB3764">
            <w:pPr>
              <w:keepNext/>
              <w:keepLines/>
              <w:spacing w:before="0" w:after="0" w:line="240" w:lineRule="auto"/>
              <w:jc w:val="center"/>
              <w:rPr>
                <w:sz w:val="20"/>
                <w:szCs w:val="20"/>
              </w:rPr>
            </w:pPr>
            <w:r>
              <w:rPr>
                <w:sz w:val="20"/>
                <w:szCs w:val="20"/>
              </w:rPr>
              <w:t>None.</w:t>
            </w:r>
          </w:p>
        </w:tc>
        <w:tc>
          <w:tcPr>
            <w:tcW w:w="2250" w:type="dxa"/>
            <w:shd w:val="clear" w:color="auto" w:fill="auto"/>
          </w:tcPr>
          <w:p w14:paraId="66FA1B6F" w14:textId="0B7CFBA5" w:rsidR="00BB3764" w:rsidRPr="00FB030E" w:rsidRDefault="00BB3764" w:rsidP="00BB3764">
            <w:pPr>
              <w:keepNext/>
              <w:keepLines/>
              <w:spacing w:before="0" w:after="0" w:line="240" w:lineRule="auto"/>
              <w:jc w:val="center"/>
              <w:rPr>
                <w:sz w:val="20"/>
                <w:szCs w:val="20"/>
              </w:rPr>
            </w:pPr>
            <w:r>
              <w:rPr>
                <w:sz w:val="20"/>
                <w:szCs w:val="20"/>
              </w:rPr>
              <w:t>n/a</w:t>
            </w:r>
          </w:p>
        </w:tc>
      </w:tr>
    </w:tbl>
    <w:p w14:paraId="28A93655" w14:textId="77777777" w:rsidR="00FD2C54" w:rsidRDefault="00FD2C54" w:rsidP="0011498C"/>
    <w:p w14:paraId="1EE16D20" w14:textId="77777777" w:rsidR="007D230B" w:rsidRPr="00171BB8" w:rsidRDefault="007D230B" w:rsidP="006B4A4F">
      <w:pPr>
        <w:pStyle w:val="eTRMHeading3"/>
      </w:pPr>
      <w:bookmarkStart w:id="17" w:name="_Toc486490851"/>
      <w:bookmarkStart w:id="18" w:name="_Toc486580922"/>
      <w:bookmarkStart w:id="19" w:name="_Toc24552017"/>
      <w:r w:rsidRPr="00A83458">
        <w:t>Normalizing</w:t>
      </w:r>
      <w:r w:rsidRPr="00171BB8">
        <w:t xml:space="preserve"> Unit</w:t>
      </w:r>
      <w:bookmarkEnd w:id="17"/>
      <w:bookmarkEnd w:id="18"/>
      <w:bookmarkEnd w:id="19"/>
    </w:p>
    <w:p w14:paraId="0115BB45" w14:textId="7DEF66C6" w:rsidR="009C31A4" w:rsidRDefault="00880BAD" w:rsidP="00486585">
      <w:r>
        <w:t>Each.</w:t>
      </w:r>
    </w:p>
    <w:p w14:paraId="4610F087" w14:textId="77777777" w:rsidR="00AA2841" w:rsidRPr="007D230B" w:rsidRDefault="00AA2841" w:rsidP="00486585"/>
    <w:p w14:paraId="2F4904E6" w14:textId="77777777" w:rsidR="007D230B" w:rsidRPr="004B06E3" w:rsidRDefault="007D230B" w:rsidP="006B4A4F">
      <w:pPr>
        <w:pStyle w:val="eTRMHeading3"/>
      </w:pPr>
      <w:bookmarkStart w:id="20" w:name="_Toc486490852"/>
      <w:bookmarkStart w:id="21" w:name="_Toc486580923"/>
      <w:bookmarkStart w:id="22" w:name="_Toc24552018"/>
      <w:bookmarkStart w:id="23" w:name="_Hlk515365299"/>
      <w:bookmarkStart w:id="24" w:name="_Hlk515878271"/>
      <w:r w:rsidRPr="004B06E3">
        <w:lastRenderedPageBreak/>
        <w:t>Program Requirements</w:t>
      </w:r>
      <w:bookmarkEnd w:id="20"/>
      <w:bookmarkEnd w:id="21"/>
      <w:bookmarkEnd w:id="22"/>
      <w:r w:rsidRPr="004B06E3">
        <w:t xml:space="preserve"> </w:t>
      </w:r>
    </w:p>
    <w:p w14:paraId="09830047" w14:textId="77777777" w:rsidR="00BB3764" w:rsidRDefault="00BB3764" w:rsidP="00BB3764">
      <w:pPr>
        <w:pStyle w:val="eTRMHeading5"/>
      </w:pPr>
      <w:bookmarkStart w:id="25" w:name="_Hlk516047641"/>
      <w:bookmarkEnd w:id="23"/>
      <w:r>
        <w:t>Measure Implementation Eligibility</w:t>
      </w:r>
    </w:p>
    <w:p w14:paraId="01AE52B4" w14:textId="77777777" w:rsidR="00BB3764" w:rsidRDefault="00BB3764" w:rsidP="00BB3764">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17A76BA1" w14:textId="77777777" w:rsidR="00BB3764" w:rsidRDefault="00BB3764" w:rsidP="00BB3764">
      <w:pPr>
        <w:rPr>
          <w:i/>
        </w:rPr>
      </w:pPr>
      <w:r>
        <w:rPr>
          <w:i/>
        </w:rPr>
        <w:t>Note that some of the implementation combinations below may not be allowed for some measure offerings by all program administrators.</w:t>
      </w:r>
    </w:p>
    <w:p w14:paraId="4C20D576" w14:textId="51A07348" w:rsidR="001B426F" w:rsidRDefault="001B426F" w:rsidP="00931868">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A44209">
        <w:trPr>
          <w:trHeight w:val="290"/>
        </w:trPr>
        <w:tc>
          <w:tcPr>
            <w:tcW w:w="3024" w:type="dxa"/>
            <w:noWrap/>
            <w:tcMar>
              <w:top w:w="0" w:type="dxa"/>
              <w:left w:w="108" w:type="dxa"/>
              <w:bottom w:w="0" w:type="dxa"/>
              <w:right w:w="108" w:type="dxa"/>
            </w:tcMar>
            <w:vAlign w:val="center"/>
          </w:tcPr>
          <w:p w14:paraId="178C5C26" w14:textId="63D40040" w:rsidR="001B426F" w:rsidRPr="00A47168" w:rsidRDefault="00945C31" w:rsidP="00A44209">
            <w:pPr>
              <w:keepNext/>
              <w:spacing w:before="0" w:after="0"/>
              <w:rPr>
                <w:color w:val="000000"/>
                <w:sz w:val="20"/>
              </w:rPr>
            </w:pPr>
            <w:r>
              <w:rPr>
                <w:color w:val="000000"/>
                <w:sz w:val="20"/>
              </w:rPr>
              <w:t>Normal Replacement (NR)</w:t>
            </w:r>
          </w:p>
        </w:tc>
        <w:tc>
          <w:tcPr>
            <w:tcW w:w="3024" w:type="dxa"/>
            <w:noWrap/>
            <w:tcMar>
              <w:top w:w="0" w:type="dxa"/>
              <w:left w:w="108" w:type="dxa"/>
              <w:bottom w:w="0" w:type="dxa"/>
              <w:right w:w="108" w:type="dxa"/>
            </w:tcMar>
            <w:vAlign w:val="center"/>
          </w:tcPr>
          <w:p w14:paraId="7EB7E369" w14:textId="7E17D6CF" w:rsidR="001B426F" w:rsidRPr="00A47168" w:rsidRDefault="00945C31" w:rsidP="00A44209">
            <w:pPr>
              <w:keepNext/>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center"/>
          </w:tcPr>
          <w:p w14:paraId="6F9C2987" w14:textId="2E4C91AA" w:rsidR="001B426F" w:rsidRPr="00A47168" w:rsidRDefault="00A44209" w:rsidP="00A44209">
            <w:pPr>
              <w:keepNext/>
              <w:spacing w:before="0" w:after="0"/>
              <w:rPr>
                <w:color w:val="000000"/>
                <w:sz w:val="20"/>
              </w:rPr>
            </w:pPr>
            <w:r>
              <w:rPr>
                <w:color w:val="000000"/>
                <w:sz w:val="20"/>
              </w:rPr>
              <w:t>Com</w:t>
            </w:r>
          </w:p>
        </w:tc>
      </w:tr>
    </w:tbl>
    <w:p w14:paraId="73035A5C" w14:textId="77777777" w:rsidR="001B426F" w:rsidRDefault="001B426F" w:rsidP="001B426F"/>
    <w:bookmarkEnd w:id="24"/>
    <w:bookmarkEnd w:id="25"/>
    <w:p w14:paraId="50711562" w14:textId="5D0894B2" w:rsidR="00AA46AF" w:rsidRDefault="00196649" w:rsidP="0026110B">
      <w:pPr>
        <w:pStyle w:val="eTRMHeading5"/>
        <w:keepNext/>
        <w:keepLines/>
      </w:pPr>
      <w:r>
        <w:t>Eligible Products</w:t>
      </w:r>
    </w:p>
    <w:p w14:paraId="04F3D9D8" w14:textId="19F8EEAA" w:rsidR="00945C31" w:rsidRDefault="00945C31" w:rsidP="002942B0">
      <w:r w:rsidRPr="00945C31">
        <w:rPr>
          <w:b/>
        </w:rPr>
        <w:t>Eligibility Requirements:</w:t>
      </w:r>
    </w:p>
    <w:p w14:paraId="42B82D11" w14:textId="57192CEF" w:rsidR="00945C31" w:rsidRDefault="00355E1F" w:rsidP="002942B0">
      <w:r>
        <w:t>The</w:t>
      </w:r>
      <w:r w:rsidR="00945C31" w:rsidRPr="005F3C1C">
        <w:t xml:space="preserve"> installation of </w:t>
      </w:r>
      <w:r>
        <w:t>an</w:t>
      </w:r>
      <w:r w:rsidRPr="005F3C1C">
        <w:t xml:space="preserve"> </w:t>
      </w:r>
      <w:r w:rsidR="00945C31" w:rsidRPr="005F3C1C">
        <w:t>air</w:t>
      </w:r>
      <w:r w:rsidR="00BB3764">
        <w:t>-</w:t>
      </w:r>
      <w:r w:rsidR="00945C31" w:rsidRPr="005F3C1C">
        <w:t>to</w:t>
      </w:r>
      <w:r w:rsidR="00BB3764">
        <w:t>-</w:t>
      </w:r>
      <w:r w:rsidR="00945C31" w:rsidRPr="005F3C1C">
        <w:t xml:space="preserve">water </w:t>
      </w:r>
      <w:r>
        <w:t>RTU</w:t>
      </w:r>
      <w:r w:rsidR="00945C31" w:rsidRPr="005F3C1C">
        <w:t xml:space="preserve"> air conditioner unit </w:t>
      </w:r>
      <w:r>
        <w:t>for</w:t>
      </w:r>
      <w:r w:rsidRPr="005F3C1C">
        <w:t xml:space="preserve"> </w:t>
      </w:r>
      <w:r>
        <w:t xml:space="preserve">a </w:t>
      </w:r>
      <w:r w:rsidR="00945C31" w:rsidRPr="005F3C1C">
        <w:t xml:space="preserve">fast food restaurant that </w:t>
      </w:r>
      <w:proofErr w:type="gramStart"/>
      <w:r>
        <w:t>is</w:t>
      </w:r>
      <w:r w:rsidRPr="005F3C1C">
        <w:t xml:space="preserve"> </w:t>
      </w:r>
      <w:r w:rsidR="00945C31" w:rsidRPr="005F3C1C">
        <w:t>capable of utilizing</w:t>
      </w:r>
      <w:proofErr w:type="gramEnd"/>
      <w:r w:rsidR="00945C31" w:rsidRPr="005F3C1C">
        <w:t xml:space="preserve"> waste heat to preheat incoming water from the main.</w:t>
      </w:r>
      <w:r>
        <w:t xml:space="preserve"> See Measure Case Description.</w:t>
      </w:r>
    </w:p>
    <w:p w14:paraId="7CE938DA" w14:textId="2434378C" w:rsidR="007B6A74" w:rsidRPr="00401C43" w:rsidRDefault="007B6A74" w:rsidP="00401C43">
      <w:pPr>
        <w:pStyle w:val="eTRMHeading5"/>
      </w:pPr>
      <w:r w:rsidRPr="00401C43">
        <w:t>Eligible Building Types</w:t>
      </w:r>
      <w:r w:rsidR="00E57AAD">
        <w:t xml:space="preserve"> and Vintages</w:t>
      </w:r>
    </w:p>
    <w:p w14:paraId="61607616" w14:textId="09288150" w:rsidR="006B4A4F" w:rsidRDefault="00355E1F" w:rsidP="006B4A4F">
      <w:r w:rsidRPr="00945C31">
        <w:t>Th</w:t>
      </w:r>
      <w:r w:rsidR="00A44209">
        <w:t>e savings developed for this</w:t>
      </w:r>
      <w:r w:rsidRPr="00945C31">
        <w:t xml:space="preserve"> </w:t>
      </w:r>
      <w:r>
        <w:t>measure</w:t>
      </w:r>
      <w:r w:rsidRPr="00945C31">
        <w:t xml:space="preserve"> </w:t>
      </w:r>
      <w:r w:rsidR="00A44209">
        <w:t>are</w:t>
      </w:r>
      <w:r>
        <w:t xml:space="preserve"> applicable</w:t>
      </w:r>
      <w:r w:rsidRPr="00945C31">
        <w:t xml:space="preserve"> </w:t>
      </w:r>
      <w:r>
        <w:t>for</w:t>
      </w:r>
      <w:r w:rsidRPr="00945C31">
        <w:t xml:space="preserve"> </w:t>
      </w:r>
      <w:r w:rsidR="00A44209">
        <w:t xml:space="preserve">installations in </w:t>
      </w:r>
      <w:r>
        <w:t xml:space="preserve">a </w:t>
      </w:r>
      <w:r w:rsidRPr="00945C31">
        <w:t>fast food restaurant</w:t>
      </w:r>
      <w:r>
        <w:t xml:space="preserve"> facility</w:t>
      </w:r>
      <w:r w:rsidRPr="00945C31">
        <w:t xml:space="preserve"> with a gas water heating system. </w:t>
      </w:r>
    </w:p>
    <w:p w14:paraId="1A3705F3" w14:textId="4BC0985D" w:rsidR="007B6A74" w:rsidRPr="004B06E3" w:rsidRDefault="00196649" w:rsidP="006B4A4F">
      <w:pPr>
        <w:pStyle w:val="eTRMHeading5"/>
      </w:pPr>
      <w:r>
        <w:t>Eligible Climate Zones</w:t>
      </w:r>
    </w:p>
    <w:p w14:paraId="34FF761D" w14:textId="02843024" w:rsidR="006C41AD" w:rsidRDefault="004B6780" w:rsidP="004B06E3">
      <w:r>
        <w:t xml:space="preserve">This measure is applicable </w:t>
      </w:r>
      <w:r w:rsidR="0026110B">
        <w:t>in</w:t>
      </w:r>
      <w:r>
        <w:t xml:space="preserve"> </w:t>
      </w:r>
      <w:r w:rsidR="0026110B">
        <w:t>all</w:t>
      </w:r>
      <w:r>
        <w:t xml:space="preserve"> California climate zones.</w:t>
      </w:r>
    </w:p>
    <w:p w14:paraId="24377ED1" w14:textId="77777777" w:rsidR="00355E1F" w:rsidRPr="004B06E3" w:rsidRDefault="00355E1F" w:rsidP="004B06E3"/>
    <w:p w14:paraId="47630D60" w14:textId="77777777" w:rsidR="007D230B" w:rsidRPr="004B06E3" w:rsidRDefault="007D230B" w:rsidP="006B4A4F">
      <w:pPr>
        <w:pStyle w:val="eTRMHeading3"/>
      </w:pPr>
      <w:bookmarkStart w:id="26" w:name="_Toc486490853"/>
      <w:bookmarkStart w:id="27" w:name="_Toc486580924"/>
      <w:bookmarkStart w:id="28" w:name="_Toc24552019"/>
      <w:r w:rsidRPr="004B06E3">
        <w:t>Program Exclusions</w:t>
      </w:r>
      <w:bookmarkEnd w:id="26"/>
      <w:bookmarkEnd w:id="27"/>
      <w:bookmarkEnd w:id="28"/>
      <w:r w:rsidRPr="004B06E3">
        <w:t xml:space="preserve"> </w:t>
      </w:r>
    </w:p>
    <w:p w14:paraId="54575027" w14:textId="71F58811" w:rsidR="00190874" w:rsidRDefault="00355E1F" w:rsidP="004B06E3">
      <w:r>
        <w:t>None.</w:t>
      </w:r>
    </w:p>
    <w:p w14:paraId="25106F22" w14:textId="77777777" w:rsidR="00355E1F" w:rsidRDefault="00355E1F" w:rsidP="004B06E3"/>
    <w:p w14:paraId="655E299F" w14:textId="77777777" w:rsidR="007D230B" w:rsidRPr="004B06E3" w:rsidRDefault="007D230B" w:rsidP="006B4A4F">
      <w:pPr>
        <w:pStyle w:val="eTRMHeading3"/>
      </w:pPr>
      <w:bookmarkStart w:id="29" w:name="_Toc486490854"/>
      <w:bookmarkStart w:id="30" w:name="_Toc486580925"/>
      <w:bookmarkStart w:id="31" w:name="_Toc24552020"/>
      <w:r w:rsidRPr="004B06E3">
        <w:t>Data Collection Requirements</w:t>
      </w:r>
      <w:bookmarkEnd w:id="29"/>
      <w:bookmarkEnd w:id="30"/>
      <w:bookmarkEnd w:id="31"/>
      <w:r w:rsidRPr="004B06E3">
        <w:t xml:space="preserve"> </w:t>
      </w:r>
    </w:p>
    <w:p w14:paraId="734D34AA" w14:textId="48D82C7F" w:rsidR="00BD2C9F" w:rsidRPr="00355E1F" w:rsidRDefault="00BD2C9F" w:rsidP="005306AE">
      <w:r w:rsidRPr="00355E1F">
        <w:t xml:space="preserve">Due to this technology being new, there are currently no studies </w:t>
      </w:r>
      <w:r w:rsidR="006B4A4F">
        <w:t>that document</w:t>
      </w:r>
      <w:r w:rsidR="006B4A4F" w:rsidRPr="00355E1F">
        <w:t xml:space="preserve"> </w:t>
      </w:r>
      <w:r w:rsidRPr="00355E1F">
        <w:t xml:space="preserve">the </w:t>
      </w:r>
      <w:r w:rsidR="006B4A4F">
        <w:t xml:space="preserve">energy savings </w:t>
      </w:r>
      <w:r w:rsidRPr="00355E1F">
        <w:t>benefits of preheating water with an air</w:t>
      </w:r>
      <w:r w:rsidR="006B4A4F">
        <w:t>-</w:t>
      </w:r>
      <w:r w:rsidRPr="00355E1F">
        <w:t>to</w:t>
      </w:r>
      <w:r w:rsidR="006B4A4F">
        <w:t>-</w:t>
      </w:r>
      <w:r w:rsidRPr="00355E1F">
        <w:t xml:space="preserve">water heat exchanger in </w:t>
      </w:r>
      <w:r w:rsidR="006B4A4F">
        <w:t>a rooftop air conditioning unit (</w:t>
      </w:r>
      <w:r w:rsidRPr="00355E1F">
        <w:t>RTU</w:t>
      </w:r>
      <w:r w:rsidR="006B4A4F">
        <w:t>)</w:t>
      </w:r>
      <w:r w:rsidRPr="00355E1F">
        <w:t xml:space="preserve">.  </w:t>
      </w:r>
      <w:r w:rsidR="00355E1F" w:rsidRPr="002A158E">
        <w:t>The emerging technology study</w:t>
      </w:r>
      <w:r w:rsidR="006B4A4F">
        <w:t>,</w:t>
      </w:r>
      <w:r w:rsidRPr="002A158E">
        <w:t xml:space="preserve"> </w:t>
      </w:r>
      <w:r w:rsidR="00355E1F" w:rsidRPr="00583BBA">
        <w:rPr>
          <w:i/>
          <w:iCs/>
        </w:rPr>
        <w:t xml:space="preserve">Portfolio of the Future: Field Testing Report – </w:t>
      </w:r>
      <w:proofErr w:type="spellStart"/>
      <w:r w:rsidR="00355E1F" w:rsidRPr="00583BBA">
        <w:rPr>
          <w:i/>
          <w:iCs/>
        </w:rPr>
        <w:t>Rheem</w:t>
      </w:r>
      <w:proofErr w:type="spellEnd"/>
      <w:r w:rsidR="00355E1F" w:rsidRPr="00583BBA">
        <w:rPr>
          <w:i/>
          <w:iCs/>
        </w:rPr>
        <w:t xml:space="preserve"> H2AC at a Quick-Serve Restaurant</w:t>
      </w:r>
      <w:r w:rsidR="006B4A4F">
        <w:rPr>
          <w:i/>
          <w:iCs/>
        </w:rPr>
        <w:t>,</w:t>
      </w:r>
      <w:r w:rsidR="00355E1F">
        <w:t xml:space="preserve"> </w:t>
      </w:r>
      <w:r w:rsidR="00355E1F" w:rsidRPr="002A158E">
        <w:t xml:space="preserve">summarizes results of </w:t>
      </w:r>
      <w:r w:rsidRPr="002A158E">
        <w:t xml:space="preserve">a field test </w:t>
      </w:r>
      <w:r w:rsidR="00355E1F" w:rsidRPr="002A158E">
        <w:t xml:space="preserve">for </w:t>
      </w:r>
      <w:r w:rsidRPr="002A158E">
        <w:t xml:space="preserve">which an RTU unit </w:t>
      </w:r>
      <w:r w:rsidR="00355E1F" w:rsidRPr="002A158E">
        <w:t xml:space="preserve">with heat recovery </w:t>
      </w:r>
      <w:r w:rsidRPr="002A158E">
        <w:t xml:space="preserve">was installed </w:t>
      </w:r>
      <w:r w:rsidRPr="002A158E">
        <w:lastRenderedPageBreak/>
        <w:t xml:space="preserve">and </w:t>
      </w:r>
      <w:r w:rsidR="006B4A4F">
        <w:t xml:space="preserve">water temperature and water consumption </w:t>
      </w:r>
      <w:r w:rsidRPr="002A158E">
        <w:t>data was monitored and recorded for 114 days.</w:t>
      </w:r>
      <w:r w:rsidR="006B4A4F">
        <w:rPr>
          <w:rStyle w:val="FootnoteReference"/>
        </w:rPr>
        <w:footnoteReference w:id="2"/>
      </w:r>
      <w:r w:rsidRPr="002A158E">
        <w:t xml:space="preserve"> </w:t>
      </w:r>
      <w:r w:rsidR="00355E1F">
        <w:t>The data recorded in the study is of good quality and accuracy, outlining all values required to yield an empirical savings value over the monitored period. However, b</w:t>
      </w:r>
      <w:r w:rsidR="00355E1F" w:rsidRPr="00355E1F">
        <w:t xml:space="preserve">ecause of limited data availability, </w:t>
      </w:r>
      <w:r w:rsidR="00355E1F">
        <w:t>f</w:t>
      </w:r>
      <w:r w:rsidRPr="00355E1F">
        <w:t xml:space="preserve">urther research is needed to associate a relation between hot water demand and air-conditioning load to increase the accuracy of savings. </w:t>
      </w:r>
    </w:p>
    <w:p w14:paraId="422C3FB1" w14:textId="77777777" w:rsidR="0002482C" w:rsidRPr="004B06E3" w:rsidRDefault="0002482C" w:rsidP="004B06E3"/>
    <w:p w14:paraId="4891FCAB" w14:textId="77777777" w:rsidR="007D230B" w:rsidRPr="004B06E3" w:rsidRDefault="007D230B" w:rsidP="006B4A4F">
      <w:pPr>
        <w:pStyle w:val="eTRMHeading3"/>
      </w:pPr>
      <w:bookmarkStart w:id="32" w:name="_Toc486490855"/>
      <w:bookmarkStart w:id="33" w:name="_Toc486580926"/>
      <w:bookmarkStart w:id="34" w:name="_Toc24552021"/>
      <w:r w:rsidRPr="004B06E3">
        <w:t>Use Category</w:t>
      </w:r>
      <w:bookmarkEnd w:id="32"/>
      <w:bookmarkEnd w:id="33"/>
      <w:bookmarkEnd w:id="34"/>
    </w:p>
    <w:p w14:paraId="13382FF9" w14:textId="1125A7E6" w:rsidR="004142EF" w:rsidRDefault="00DA30C7" w:rsidP="004B06E3">
      <w:r>
        <w:t>HVAC</w:t>
      </w:r>
    </w:p>
    <w:p w14:paraId="69458728" w14:textId="77777777" w:rsidR="00132E1A" w:rsidRPr="004B06E3" w:rsidRDefault="00132E1A" w:rsidP="004B06E3"/>
    <w:p w14:paraId="4B62D367" w14:textId="370A839E" w:rsidR="007D230B" w:rsidRPr="004B06E3" w:rsidRDefault="007D230B" w:rsidP="006B4A4F">
      <w:pPr>
        <w:pStyle w:val="eTRMHeading3"/>
      </w:pPr>
      <w:bookmarkStart w:id="35" w:name="_Toc486490857"/>
      <w:bookmarkStart w:id="36" w:name="_Toc486580928"/>
      <w:bookmarkStart w:id="37" w:name="_Toc24552022"/>
      <w:r w:rsidRPr="004B06E3">
        <w:t>Electric Savings</w:t>
      </w:r>
      <w:r w:rsidR="00245AFF" w:rsidRPr="004B06E3">
        <w:t xml:space="preserve"> (</w:t>
      </w:r>
      <w:r w:rsidR="00E14349" w:rsidRPr="001D5580">
        <w:t>k</w:t>
      </w:r>
      <w:r w:rsidR="00245AFF" w:rsidRPr="001D5580">
        <w:t>Wh</w:t>
      </w:r>
      <w:r w:rsidR="00245AFF" w:rsidRPr="004B06E3">
        <w:t>)</w:t>
      </w:r>
      <w:bookmarkEnd w:id="35"/>
      <w:bookmarkEnd w:id="36"/>
      <w:bookmarkEnd w:id="37"/>
    </w:p>
    <w:p w14:paraId="275B8812" w14:textId="585E3358" w:rsidR="00C074A1" w:rsidRPr="00C074A1" w:rsidRDefault="00AE0952" w:rsidP="00C074A1">
      <w:r>
        <w:t>N</w:t>
      </w:r>
      <w:r w:rsidR="00C074A1" w:rsidRPr="00C074A1">
        <w:t xml:space="preserve">ot applicable. </w:t>
      </w:r>
    </w:p>
    <w:p w14:paraId="65FD1BC4" w14:textId="77777777" w:rsidR="00E827BA" w:rsidRDefault="00E827BA" w:rsidP="00AB71BC"/>
    <w:p w14:paraId="46B7702E" w14:textId="77777777" w:rsidR="00BB4F22" w:rsidRPr="004B06E3" w:rsidRDefault="00BB4F22" w:rsidP="006B4A4F">
      <w:pPr>
        <w:pStyle w:val="eTRMHeading3"/>
      </w:pPr>
      <w:bookmarkStart w:id="38" w:name="_Toc486490856"/>
      <w:bookmarkStart w:id="39" w:name="_Toc486580927"/>
      <w:bookmarkStart w:id="40" w:name="_Toc24552023"/>
      <w:r w:rsidRPr="004B06E3">
        <w:t>Peak Electric Demand Reduction (</w:t>
      </w:r>
      <w:r w:rsidRPr="0026110B">
        <w:t>kW</w:t>
      </w:r>
      <w:r w:rsidRPr="004B06E3">
        <w:t>)</w:t>
      </w:r>
      <w:bookmarkEnd w:id="38"/>
      <w:bookmarkEnd w:id="39"/>
      <w:bookmarkEnd w:id="40"/>
    </w:p>
    <w:p w14:paraId="41510136" w14:textId="6DF436E3" w:rsidR="00C074A1" w:rsidRDefault="00AE0952" w:rsidP="00C074A1">
      <w:bookmarkStart w:id="41" w:name="_Toc486490858"/>
      <w:bookmarkStart w:id="42" w:name="_Toc486580929"/>
      <w:r>
        <w:t>N</w:t>
      </w:r>
      <w:r w:rsidR="00C074A1" w:rsidRPr="00C074A1">
        <w:t xml:space="preserve">ot applicable. </w:t>
      </w:r>
    </w:p>
    <w:p w14:paraId="630E7F0C" w14:textId="77777777" w:rsidR="009251E0" w:rsidRPr="00C074A1" w:rsidRDefault="009251E0" w:rsidP="00C074A1"/>
    <w:p w14:paraId="02E97124" w14:textId="7A44ED50" w:rsidR="00177EB6" w:rsidRPr="004B06E3" w:rsidRDefault="00177EB6" w:rsidP="006B4A4F">
      <w:pPr>
        <w:pStyle w:val="eTRMHeading3"/>
      </w:pPr>
      <w:bookmarkStart w:id="43" w:name="_Toc24552024"/>
      <w:r w:rsidRPr="004B06E3">
        <w:t>Gas Savings (</w:t>
      </w:r>
      <w:r w:rsidRPr="0026110B">
        <w:t>Therms</w:t>
      </w:r>
      <w:r w:rsidRPr="004B06E3">
        <w:t>)</w:t>
      </w:r>
      <w:bookmarkEnd w:id="41"/>
      <w:bookmarkEnd w:id="42"/>
      <w:bookmarkEnd w:id="43"/>
    </w:p>
    <w:p w14:paraId="2F113EC3" w14:textId="5F9B7CEF" w:rsidR="007B133E" w:rsidRDefault="007B133E" w:rsidP="00583BBA">
      <w:pPr>
        <w:pStyle w:val="eTRMHeading4"/>
      </w:pPr>
      <w:r>
        <w:t>Methodology</w:t>
      </w:r>
    </w:p>
    <w:p w14:paraId="4CAB9A0B" w14:textId="33BCF0BC" w:rsidR="00C86F01" w:rsidRDefault="003E474F" w:rsidP="00C86F01">
      <w:r>
        <w:t xml:space="preserve">The </w:t>
      </w:r>
      <w:r w:rsidR="00075297">
        <w:t xml:space="preserve">annual </w:t>
      </w:r>
      <w:r>
        <w:t xml:space="preserve">gas unit energy savings (UES) of </w:t>
      </w:r>
      <w:r w:rsidR="006E073B">
        <w:t>this measure</w:t>
      </w:r>
      <w:r>
        <w:t xml:space="preserve"> </w:t>
      </w:r>
      <w:r w:rsidR="00075297">
        <w:t>was</w:t>
      </w:r>
      <w:r>
        <w:t xml:space="preserve"> estimated by</w:t>
      </w:r>
      <w:r w:rsidR="006E073B">
        <w:t xml:space="preserve"> a</w:t>
      </w:r>
      <w:r>
        <w:t xml:space="preserve"> regression as a function of </w:t>
      </w:r>
      <w:r w:rsidR="009251E0">
        <w:t>c</w:t>
      </w:r>
      <w:r>
        <w:t xml:space="preserve">ooling </w:t>
      </w:r>
      <w:r w:rsidR="009251E0">
        <w:t>d</w:t>
      </w:r>
      <w:r>
        <w:t xml:space="preserve">egree </w:t>
      </w:r>
      <w:r w:rsidR="009251E0">
        <w:t>d</w:t>
      </w:r>
      <w:r>
        <w:t>ays (CDD)</w:t>
      </w:r>
      <w:r w:rsidR="004019B5">
        <w:t xml:space="preserve"> </w:t>
      </w:r>
      <w:r w:rsidR="009251E0">
        <w:t>and</w:t>
      </w:r>
      <w:r w:rsidR="004019B5">
        <w:t xml:space="preserve"> </w:t>
      </w:r>
      <w:r w:rsidR="00C86F01">
        <w:t xml:space="preserve">pre- and post-installation </w:t>
      </w:r>
      <w:r w:rsidR="004019B5">
        <w:t xml:space="preserve">data </w:t>
      </w:r>
      <w:r w:rsidR="00D21EC2">
        <w:t xml:space="preserve">collected for 114 days of an air conditioning rooftop unit (RTU) with heat recovery installed </w:t>
      </w:r>
      <w:r w:rsidR="004019B5">
        <w:t xml:space="preserve">at a </w:t>
      </w:r>
      <w:r w:rsidR="00EB35A4">
        <w:t>quick-serve</w:t>
      </w:r>
      <w:r w:rsidR="004019B5">
        <w:t xml:space="preserve"> food restaurant</w:t>
      </w:r>
      <w:r w:rsidR="00D21EC2">
        <w:t xml:space="preserve"> in Anaheim, California</w:t>
      </w:r>
      <w:r w:rsidR="004019B5">
        <w:t>.</w:t>
      </w:r>
      <w:r w:rsidR="007B133E">
        <w:rPr>
          <w:rStyle w:val="FootnoteReference"/>
        </w:rPr>
        <w:footnoteReference w:id="3"/>
      </w:r>
      <w:r w:rsidR="00D21EC2">
        <w:t xml:space="preserve"> </w:t>
      </w:r>
      <w:r w:rsidR="007331D5">
        <w:t>M</w:t>
      </w:r>
      <w:r w:rsidR="007331D5" w:rsidRPr="00EB73F3">
        <w:t>easurements</w:t>
      </w:r>
      <w:r w:rsidR="007331D5">
        <w:t xml:space="preserve"> were collected</w:t>
      </w:r>
      <w:r w:rsidR="007331D5" w:rsidRPr="00EB73F3">
        <w:t xml:space="preserve"> </w:t>
      </w:r>
      <w:r w:rsidR="007331D5">
        <w:t xml:space="preserve">every 15 minutes </w:t>
      </w:r>
      <w:r w:rsidR="007331D5" w:rsidRPr="00EB73F3">
        <w:t>for water main temperature, storage tank outlet temperature, water heater outlet temperature</w:t>
      </w:r>
      <w:r w:rsidR="007331D5">
        <w:t>,</w:t>
      </w:r>
      <w:r w:rsidR="007331D5" w:rsidRPr="00EB73F3">
        <w:t xml:space="preserve"> and water </w:t>
      </w:r>
      <w:r w:rsidR="007331D5">
        <w:t>consumption</w:t>
      </w:r>
      <w:r w:rsidR="007331D5" w:rsidRPr="00EB73F3">
        <w:t xml:space="preserve">. </w:t>
      </w:r>
      <w:r w:rsidR="00C86F01">
        <w:t xml:space="preserve">As documented in the </w:t>
      </w:r>
      <w:r w:rsidR="007331D5">
        <w:t xml:space="preserve">field test </w:t>
      </w:r>
      <w:r w:rsidR="00C86F01">
        <w:t xml:space="preserve">study, the daily UES is a function of the temperature difference between the incoming water from the main and the outlet water from the </w:t>
      </w:r>
      <w:r w:rsidR="007331D5">
        <w:t>water</w:t>
      </w:r>
      <w:r w:rsidR="00C86F01">
        <w:t xml:space="preserve"> storage tank; this temperature difference represents the energy that would have previously come from the natural gas fired water heating system. The pre-installation data confirmed that usage patterns did not deviate from typical levels after installation of the H2AC. (p.3) </w:t>
      </w:r>
    </w:p>
    <w:p w14:paraId="78005BF1" w14:textId="41EDE3E0" w:rsidR="003E474F" w:rsidRDefault="00EB35A4" w:rsidP="00C86F01">
      <w:pPr>
        <w:rPr>
          <w:szCs w:val="22"/>
        </w:rPr>
      </w:pPr>
      <w:r w:rsidRPr="00A24545">
        <w:rPr>
          <w:szCs w:val="22"/>
        </w:rPr>
        <w:t>The restaurant is open 24 hours per day, 7 days per week. The restaurant consumes approximately 520 gallons of 140 °F hot water daily. The hot water system is a standard storage tank gas-fired hot water heater</w:t>
      </w:r>
      <w:r w:rsidR="00C86F01" w:rsidRPr="00A24545">
        <w:rPr>
          <w:szCs w:val="22"/>
        </w:rPr>
        <w:t xml:space="preserve"> with a thermal efficiency rating of 80%</w:t>
      </w:r>
      <w:r w:rsidRPr="00A24545">
        <w:rPr>
          <w:szCs w:val="22"/>
        </w:rPr>
        <w:t>.</w:t>
      </w:r>
    </w:p>
    <w:p w14:paraId="5E4BD759" w14:textId="77777777" w:rsidR="0011460A" w:rsidRDefault="0011460A" w:rsidP="00C86F01"/>
    <w:p w14:paraId="4A0EFE59" w14:textId="3D2139F1" w:rsidR="009337BD" w:rsidRPr="00EB73F3" w:rsidRDefault="009337BD" w:rsidP="00931868">
      <w:pPr>
        <w:pStyle w:val="Caption"/>
      </w:pPr>
      <w:r w:rsidRPr="00EB73F3">
        <w:lastRenderedPageBreak/>
        <w:t xml:space="preserve">Regression </w:t>
      </w:r>
      <w:r w:rsidR="00075297">
        <w:t>Model</w:t>
      </w:r>
      <w:r w:rsidR="000236F0">
        <w:t xml:space="preserve"> – Sloped Section</w:t>
      </w:r>
    </w:p>
    <w:tbl>
      <w:tblPr>
        <w:tblW w:w="350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919"/>
        <w:gridCol w:w="1586"/>
      </w:tblGrid>
      <w:tr w:rsidR="000236F0" w:rsidRPr="007B133E" w14:paraId="4D157E7E" w14:textId="77777777" w:rsidTr="00583BBA">
        <w:trPr>
          <w:trHeight w:val="288"/>
        </w:trPr>
        <w:tc>
          <w:tcPr>
            <w:tcW w:w="1919" w:type="dxa"/>
            <w:tcBorders>
              <w:top w:val="single" w:sz="4" w:space="0" w:color="auto"/>
              <w:left w:val="single" w:sz="4" w:space="0" w:color="auto"/>
              <w:bottom w:val="single" w:sz="4" w:space="0" w:color="auto"/>
              <w:right w:val="single" w:sz="4" w:space="0" w:color="auto"/>
            </w:tcBorders>
            <w:shd w:val="clear" w:color="auto" w:fill="E7E7E7" w:themeFill="text1" w:themeFillTint="1A"/>
            <w:noWrap/>
            <w:vAlign w:val="center"/>
          </w:tcPr>
          <w:p w14:paraId="7C5E874F" w14:textId="3EB8B408" w:rsidR="000236F0" w:rsidRPr="007B133E" w:rsidRDefault="000236F0" w:rsidP="00583BBA">
            <w:pPr>
              <w:pStyle w:val="eTRMTextBoxTitle"/>
            </w:pPr>
          </w:p>
        </w:tc>
        <w:tc>
          <w:tcPr>
            <w:tcW w:w="1586" w:type="dxa"/>
            <w:tcBorders>
              <w:top w:val="single" w:sz="4" w:space="0" w:color="auto"/>
              <w:left w:val="single" w:sz="4" w:space="0" w:color="auto"/>
              <w:bottom w:val="single" w:sz="4" w:space="0" w:color="auto"/>
              <w:right w:val="single" w:sz="4" w:space="0" w:color="auto"/>
            </w:tcBorders>
            <w:shd w:val="clear" w:color="auto" w:fill="E7E7E7" w:themeFill="text1" w:themeFillTint="1A"/>
            <w:noWrap/>
            <w:vAlign w:val="center"/>
          </w:tcPr>
          <w:p w14:paraId="5179EA11" w14:textId="53268D99" w:rsidR="000236F0" w:rsidRPr="007B133E" w:rsidRDefault="000236F0" w:rsidP="00583BBA">
            <w:pPr>
              <w:pStyle w:val="eTRMTextBoxTitle"/>
            </w:pPr>
            <w:r w:rsidRPr="007B133E">
              <w:t>Value</w:t>
            </w:r>
          </w:p>
        </w:tc>
      </w:tr>
      <w:tr w:rsidR="009337BD" w:rsidRPr="00583BBA" w14:paraId="675FFE4E" w14:textId="77777777" w:rsidTr="00583BBA">
        <w:trPr>
          <w:trHeight w:val="288"/>
        </w:trPr>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24748" w14:textId="03A58C9B" w:rsidR="009337BD" w:rsidRPr="00583BBA" w:rsidRDefault="00A376FA" w:rsidP="007B133E">
            <w:pPr>
              <w:spacing w:before="0" w:after="0" w:line="240" w:lineRule="auto"/>
              <w:rPr>
                <w:rFonts w:eastAsia="Times New Roman" w:cs="Calibri Light"/>
                <w:color w:val="000000"/>
                <w:sz w:val="20"/>
                <w:szCs w:val="20"/>
              </w:rPr>
            </w:pPr>
            <w:r w:rsidRPr="00583BBA">
              <w:rPr>
                <w:rFonts w:eastAsia="Times New Roman" w:cs="Calibri Light"/>
                <w:color w:val="000000"/>
                <w:sz w:val="20"/>
                <w:szCs w:val="20"/>
              </w:rPr>
              <w:t>S</w:t>
            </w:r>
            <w:r w:rsidR="009337BD" w:rsidRPr="00583BBA">
              <w:rPr>
                <w:rFonts w:eastAsia="Times New Roman" w:cs="Calibri Light"/>
                <w:color w:val="000000"/>
                <w:sz w:val="20"/>
                <w:szCs w:val="20"/>
              </w:rPr>
              <w:t>lope</w:t>
            </w: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56EFE" w14:textId="77777777" w:rsidR="009337BD" w:rsidRPr="00583BBA" w:rsidRDefault="009337BD" w:rsidP="00A24545">
            <w:pPr>
              <w:spacing w:before="0" w:after="0" w:line="240" w:lineRule="auto"/>
              <w:ind w:right="525"/>
              <w:jc w:val="right"/>
              <w:rPr>
                <w:rFonts w:eastAsia="Times New Roman" w:cs="Calibri Light"/>
                <w:color w:val="000000"/>
                <w:sz w:val="20"/>
                <w:szCs w:val="20"/>
              </w:rPr>
            </w:pPr>
            <w:r w:rsidRPr="00583BBA">
              <w:rPr>
                <w:rFonts w:eastAsia="Times New Roman" w:cs="Calibri Light"/>
                <w:color w:val="000000"/>
                <w:sz w:val="20"/>
                <w:szCs w:val="20"/>
              </w:rPr>
              <w:t>0.08</w:t>
            </w:r>
          </w:p>
        </w:tc>
      </w:tr>
      <w:tr w:rsidR="009337BD" w:rsidRPr="00583BBA" w14:paraId="63B959A9" w14:textId="77777777" w:rsidTr="00583BBA">
        <w:trPr>
          <w:trHeight w:val="288"/>
        </w:trPr>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BF63D" w14:textId="7122F5E7" w:rsidR="009337BD" w:rsidRPr="00583BBA" w:rsidRDefault="009337BD" w:rsidP="007B133E">
            <w:pPr>
              <w:spacing w:before="0" w:after="0" w:line="240" w:lineRule="auto"/>
              <w:rPr>
                <w:rFonts w:eastAsia="Times New Roman" w:cs="Calibri Light"/>
                <w:color w:val="000000"/>
                <w:sz w:val="20"/>
                <w:szCs w:val="20"/>
              </w:rPr>
            </w:pPr>
            <w:r w:rsidRPr="00583BBA">
              <w:rPr>
                <w:rFonts w:eastAsia="Times New Roman" w:cs="Calibri Light"/>
                <w:color w:val="000000"/>
                <w:sz w:val="20"/>
                <w:szCs w:val="20"/>
              </w:rPr>
              <w:t>Intercept</w:t>
            </w: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25E53" w14:textId="77777777" w:rsidR="009337BD" w:rsidRPr="00583BBA" w:rsidRDefault="009337BD" w:rsidP="00A24545">
            <w:pPr>
              <w:spacing w:before="0" w:after="0" w:line="240" w:lineRule="auto"/>
              <w:ind w:right="525"/>
              <w:jc w:val="right"/>
              <w:rPr>
                <w:rFonts w:eastAsia="Times New Roman" w:cs="Calibri Light"/>
                <w:color w:val="000000"/>
                <w:sz w:val="20"/>
                <w:szCs w:val="20"/>
              </w:rPr>
            </w:pPr>
            <w:r w:rsidRPr="00583BBA">
              <w:rPr>
                <w:rFonts w:eastAsia="Times New Roman" w:cs="Calibri Light"/>
                <w:color w:val="000000"/>
                <w:sz w:val="20"/>
                <w:szCs w:val="20"/>
              </w:rPr>
              <w:t>-0.05</w:t>
            </w:r>
          </w:p>
        </w:tc>
      </w:tr>
      <w:tr w:rsidR="009337BD" w:rsidRPr="00583BBA" w14:paraId="07CF7F24" w14:textId="77777777" w:rsidTr="00A24545">
        <w:trPr>
          <w:trHeight w:val="288"/>
        </w:trPr>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19B7C" w14:textId="5E1BF215" w:rsidR="009337BD" w:rsidRPr="00583BBA" w:rsidRDefault="009337BD" w:rsidP="007B133E">
            <w:pPr>
              <w:spacing w:before="0" w:after="0" w:line="240" w:lineRule="auto"/>
              <w:rPr>
                <w:rFonts w:eastAsia="Times New Roman" w:cs="Calibri Light"/>
                <w:color w:val="000000"/>
                <w:sz w:val="20"/>
                <w:szCs w:val="20"/>
              </w:rPr>
            </w:pPr>
            <w:r w:rsidRPr="00583BBA">
              <w:rPr>
                <w:rFonts w:eastAsia="Times New Roman" w:cs="Calibri Light"/>
                <w:color w:val="000000"/>
                <w:sz w:val="20"/>
                <w:szCs w:val="20"/>
              </w:rPr>
              <w:t>Inflection</w:t>
            </w: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6BDE3" w14:textId="5A956D2F" w:rsidR="009337BD" w:rsidRPr="00583BBA" w:rsidRDefault="009337BD" w:rsidP="00A24545">
            <w:pPr>
              <w:spacing w:before="0" w:after="0" w:line="240" w:lineRule="auto"/>
              <w:ind w:right="525"/>
              <w:jc w:val="right"/>
              <w:rPr>
                <w:rFonts w:eastAsia="Times New Roman" w:cs="Calibri Light"/>
                <w:color w:val="000000"/>
                <w:sz w:val="20"/>
                <w:szCs w:val="20"/>
              </w:rPr>
            </w:pPr>
            <w:r w:rsidRPr="00583BBA">
              <w:rPr>
                <w:rFonts w:eastAsia="Times New Roman" w:cs="Calibri Light"/>
                <w:color w:val="000000"/>
                <w:sz w:val="20"/>
                <w:szCs w:val="20"/>
              </w:rPr>
              <w:t>28</w:t>
            </w:r>
            <w:r w:rsidR="007331D5">
              <w:rPr>
                <w:rFonts w:eastAsia="Times New Roman" w:cs="Calibri Light"/>
                <w:color w:val="000000"/>
                <w:sz w:val="20"/>
                <w:szCs w:val="20"/>
              </w:rPr>
              <w:t>.00</w:t>
            </w:r>
          </w:p>
        </w:tc>
      </w:tr>
      <w:tr w:rsidR="009337BD" w:rsidRPr="00583BBA" w14:paraId="64BBAA05" w14:textId="77777777" w:rsidTr="00583BBA">
        <w:trPr>
          <w:trHeight w:val="288"/>
        </w:trPr>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D3B1B" w14:textId="77777777" w:rsidR="009337BD" w:rsidRPr="00583BBA" w:rsidRDefault="009337BD" w:rsidP="007B133E">
            <w:pPr>
              <w:spacing w:before="0" w:after="0" w:line="240" w:lineRule="auto"/>
              <w:rPr>
                <w:rFonts w:eastAsia="Times New Roman" w:cs="Calibri Light"/>
                <w:color w:val="000000"/>
                <w:sz w:val="20"/>
                <w:szCs w:val="20"/>
              </w:rPr>
            </w:pPr>
            <w:r w:rsidRPr="00583BBA">
              <w:rPr>
                <w:rFonts w:eastAsia="Times New Roman" w:cs="Calibri Light"/>
                <w:color w:val="000000"/>
                <w:sz w:val="20"/>
                <w:szCs w:val="20"/>
              </w:rPr>
              <w:t>RSQ</w:t>
            </w:r>
          </w:p>
        </w:tc>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4909" w14:textId="77777777" w:rsidR="009337BD" w:rsidRPr="00583BBA" w:rsidRDefault="009337BD" w:rsidP="00A24545">
            <w:pPr>
              <w:spacing w:before="0" w:after="0" w:line="240" w:lineRule="auto"/>
              <w:ind w:right="525"/>
              <w:jc w:val="right"/>
              <w:rPr>
                <w:rFonts w:eastAsia="Times New Roman" w:cs="Calibri Light"/>
                <w:color w:val="000000"/>
                <w:sz w:val="20"/>
                <w:szCs w:val="20"/>
              </w:rPr>
            </w:pPr>
            <w:r w:rsidRPr="00583BBA">
              <w:rPr>
                <w:rFonts w:eastAsia="Times New Roman" w:cs="Calibri Light"/>
                <w:color w:val="000000"/>
                <w:sz w:val="20"/>
                <w:szCs w:val="20"/>
              </w:rPr>
              <w:t>0.35</w:t>
            </w:r>
          </w:p>
        </w:tc>
      </w:tr>
      <w:tr w:rsidR="000236F0" w:rsidRPr="007B133E" w14:paraId="18B6CE08" w14:textId="77777777" w:rsidTr="00583BBA">
        <w:trPr>
          <w:trHeight w:val="288"/>
        </w:trPr>
        <w:tc>
          <w:tcPr>
            <w:tcW w:w="35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0369" w14:textId="33E534A3" w:rsidR="000236F0" w:rsidRPr="00583BBA" w:rsidRDefault="000236F0" w:rsidP="00583BBA">
            <w:pPr>
              <w:spacing w:before="0" w:after="0" w:line="240" w:lineRule="auto"/>
              <w:jc w:val="center"/>
              <w:rPr>
                <w:rFonts w:eastAsia="Times New Roman" w:cs="Calibri Light"/>
                <w:b/>
                <w:bCs/>
                <w:color w:val="000000"/>
                <w:sz w:val="20"/>
                <w:szCs w:val="20"/>
              </w:rPr>
            </w:pPr>
            <w:r w:rsidRPr="00583BBA">
              <w:rPr>
                <w:rFonts w:eastAsia="Times New Roman" w:cs="Calibri Light"/>
                <w:b/>
                <w:bCs/>
                <w:color w:val="000000"/>
                <w:sz w:val="20"/>
                <w:szCs w:val="20"/>
              </w:rPr>
              <w:t>Y</w:t>
            </w:r>
            <w:r w:rsidR="007B133E">
              <w:rPr>
                <w:rFonts w:eastAsia="Times New Roman" w:cs="Calibri Light"/>
                <w:b/>
                <w:bCs/>
                <w:color w:val="000000"/>
                <w:sz w:val="20"/>
                <w:szCs w:val="20"/>
              </w:rPr>
              <w:t xml:space="preserve"> </w:t>
            </w:r>
            <w:r w:rsidRPr="00583BBA">
              <w:rPr>
                <w:rFonts w:eastAsia="Times New Roman" w:cs="Calibri Light"/>
                <w:b/>
                <w:bCs/>
                <w:color w:val="000000"/>
                <w:sz w:val="20"/>
                <w:szCs w:val="20"/>
              </w:rPr>
              <w:t>=</w:t>
            </w:r>
            <w:r w:rsidR="007B133E">
              <w:rPr>
                <w:rFonts w:eastAsia="Times New Roman" w:cs="Calibri Light"/>
                <w:b/>
                <w:bCs/>
                <w:color w:val="000000"/>
                <w:sz w:val="20"/>
                <w:szCs w:val="20"/>
              </w:rPr>
              <w:t xml:space="preserve"> </w:t>
            </w:r>
            <w:r w:rsidRPr="00583BBA">
              <w:rPr>
                <w:rFonts w:eastAsia="Times New Roman" w:cs="Calibri Light"/>
                <w:b/>
                <w:bCs/>
                <w:color w:val="000000"/>
                <w:sz w:val="20"/>
                <w:szCs w:val="20"/>
              </w:rPr>
              <w:t>0.08X</w:t>
            </w:r>
            <w:r w:rsidR="007B133E">
              <w:rPr>
                <w:rFonts w:eastAsia="Times New Roman" w:cs="Calibri Light"/>
                <w:b/>
                <w:bCs/>
                <w:color w:val="000000"/>
                <w:sz w:val="20"/>
                <w:szCs w:val="20"/>
              </w:rPr>
              <w:t xml:space="preserve"> </w:t>
            </w:r>
            <w:r w:rsidRPr="00583BBA">
              <w:rPr>
                <w:rFonts w:eastAsia="Times New Roman" w:cs="Calibri Light"/>
                <w:b/>
                <w:bCs/>
                <w:color w:val="000000"/>
                <w:sz w:val="20"/>
                <w:szCs w:val="20"/>
              </w:rPr>
              <w:t>-</w:t>
            </w:r>
            <w:r w:rsidR="007B133E">
              <w:rPr>
                <w:rFonts w:eastAsia="Times New Roman" w:cs="Calibri Light"/>
                <w:b/>
                <w:bCs/>
                <w:color w:val="000000"/>
                <w:sz w:val="20"/>
                <w:szCs w:val="20"/>
              </w:rPr>
              <w:t xml:space="preserve"> </w:t>
            </w:r>
            <w:r w:rsidRPr="00583BBA">
              <w:rPr>
                <w:rFonts w:eastAsia="Times New Roman" w:cs="Calibri Light"/>
                <w:b/>
                <w:bCs/>
                <w:color w:val="000000"/>
                <w:sz w:val="20"/>
                <w:szCs w:val="20"/>
              </w:rPr>
              <w:t>0.05</w:t>
            </w:r>
          </w:p>
        </w:tc>
      </w:tr>
    </w:tbl>
    <w:p w14:paraId="14DF619A" w14:textId="4EDF7CCF" w:rsidR="00256665" w:rsidRPr="00075297" w:rsidRDefault="00256665" w:rsidP="00583BBA">
      <w:pPr>
        <w:pStyle w:val="TableFootnote"/>
      </w:pPr>
      <w:r w:rsidRPr="00075297">
        <w:t xml:space="preserve">Cooling Degree </w:t>
      </w:r>
      <w:r w:rsidRPr="008A2FE6">
        <w:t>base</w:t>
      </w:r>
      <w:r w:rsidRPr="00075297">
        <w:t xml:space="preserve"> of 42°F</w:t>
      </w:r>
    </w:p>
    <w:p w14:paraId="21F20D40" w14:textId="6D4AAE3C" w:rsidR="000236F0" w:rsidRPr="00075297" w:rsidRDefault="000236F0" w:rsidP="00931868">
      <w:pPr>
        <w:pStyle w:val="Caption"/>
      </w:pPr>
      <w:r w:rsidRPr="00EB73F3">
        <w:t xml:space="preserve">Regression </w:t>
      </w:r>
      <w:r w:rsidR="00075297">
        <w:t>Model</w:t>
      </w:r>
      <w:r>
        <w:t xml:space="preserve"> – Flat Section</w:t>
      </w:r>
    </w:p>
    <w:tbl>
      <w:tblPr>
        <w:tblStyle w:val="TableGrid"/>
        <w:tblW w:w="0" w:type="auto"/>
        <w:tblLook w:val="04A0" w:firstRow="1" w:lastRow="0" w:firstColumn="1" w:lastColumn="0" w:noHBand="0" w:noVBand="1"/>
      </w:tblPr>
      <w:tblGrid>
        <w:gridCol w:w="1885"/>
        <w:gridCol w:w="1620"/>
      </w:tblGrid>
      <w:tr w:rsidR="000236F0" w:rsidRPr="007B133E" w14:paraId="234CE755" w14:textId="77777777" w:rsidTr="00583BBA">
        <w:trPr>
          <w:trHeight w:val="288"/>
        </w:trPr>
        <w:tc>
          <w:tcPr>
            <w:tcW w:w="1885" w:type="dxa"/>
            <w:shd w:val="clear" w:color="auto" w:fill="E7E7E7" w:themeFill="text1" w:themeFillTint="1A"/>
          </w:tcPr>
          <w:p w14:paraId="4CB6C576" w14:textId="650B1820" w:rsidR="000236F0" w:rsidRPr="00583BBA" w:rsidRDefault="000236F0" w:rsidP="00A24545">
            <w:pPr>
              <w:pStyle w:val="eTRMTextBoxTitle"/>
              <w:keepNext/>
              <w:keepLines/>
            </w:pPr>
          </w:p>
        </w:tc>
        <w:tc>
          <w:tcPr>
            <w:tcW w:w="1620" w:type="dxa"/>
            <w:shd w:val="clear" w:color="auto" w:fill="E7E7E7" w:themeFill="text1" w:themeFillTint="1A"/>
          </w:tcPr>
          <w:p w14:paraId="1AC2192F" w14:textId="4A62C590" w:rsidR="000236F0" w:rsidRPr="00583BBA" w:rsidRDefault="00A376FA" w:rsidP="00A24545">
            <w:pPr>
              <w:pStyle w:val="eTRMTextBoxTitle"/>
              <w:keepNext/>
              <w:keepLines/>
            </w:pPr>
            <w:r w:rsidRPr="00583BBA">
              <w:t>Value</w:t>
            </w:r>
          </w:p>
        </w:tc>
      </w:tr>
      <w:tr w:rsidR="000236F0" w:rsidRPr="007B133E" w14:paraId="6BDD3AE2" w14:textId="77777777" w:rsidTr="00583BBA">
        <w:trPr>
          <w:trHeight w:val="288"/>
        </w:trPr>
        <w:tc>
          <w:tcPr>
            <w:tcW w:w="1885" w:type="dxa"/>
          </w:tcPr>
          <w:p w14:paraId="585377C0" w14:textId="2F88A605" w:rsidR="000236F0" w:rsidRPr="005306AE" w:rsidRDefault="000236F0" w:rsidP="00A24545">
            <w:pPr>
              <w:keepNext/>
              <w:keepLines/>
              <w:spacing w:before="0" w:after="0" w:line="240" w:lineRule="auto"/>
              <w:rPr>
                <w:sz w:val="20"/>
                <w:szCs w:val="20"/>
              </w:rPr>
            </w:pPr>
            <w:r w:rsidRPr="005306AE">
              <w:rPr>
                <w:sz w:val="20"/>
                <w:szCs w:val="20"/>
              </w:rPr>
              <w:t>Slope</w:t>
            </w:r>
          </w:p>
        </w:tc>
        <w:tc>
          <w:tcPr>
            <w:tcW w:w="1620" w:type="dxa"/>
          </w:tcPr>
          <w:p w14:paraId="1525F2B8" w14:textId="610CA025" w:rsidR="000236F0" w:rsidRPr="005306AE" w:rsidRDefault="000236F0" w:rsidP="00A24545">
            <w:pPr>
              <w:keepNext/>
              <w:keepLines/>
              <w:spacing w:before="0" w:after="0" w:line="240" w:lineRule="auto"/>
              <w:jc w:val="center"/>
              <w:rPr>
                <w:sz w:val="20"/>
                <w:szCs w:val="20"/>
              </w:rPr>
            </w:pPr>
            <w:r w:rsidRPr="005306AE">
              <w:rPr>
                <w:sz w:val="20"/>
                <w:szCs w:val="20"/>
              </w:rPr>
              <w:t>-0.01</w:t>
            </w:r>
          </w:p>
        </w:tc>
      </w:tr>
      <w:tr w:rsidR="000236F0" w:rsidRPr="007B133E" w14:paraId="3BE049AA" w14:textId="77777777" w:rsidTr="00583BBA">
        <w:trPr>
          <w:trHeight w:val="288"/>
        </w:trPr>
        <w:tc>
          <w:tcPr>
            <w:tcW w:w="1885" w:type="dxa"/>
          </w:tcPr>
          <w:p w14:paraId="2128D93A" w14:textId="1E107CCF" w:rsidR="000236F0" w:rsidRPr="005306AE" w:rsidRDefault="000236F0" w:rsidP="00A24545">
            <w:pPr>
              <w:keepNext/>
              <w:keepLines/>
              <w:spacing w:before="0" w:after="0" w:line="240" w:lineRule="auto"/>
              <w:rPr>
                <w:sz w:val="20"/>
                <w:szCs w:val="20"/>
              </w:rPr>
            </w:pPr>
            <w:r w:rsidRPr="005306AE">
              <w:rPr>
                <w:sz w:val="20"/>
                <w:szCs w:val="20"/>
              </w:rPr>
              <w:t>Intercept</w:t>
            </w:r>
          </w:p>
        </w:tc>
        <w:tc>
          <w:tcPr>
            <w:tcW w:w="1620" w:type="dxa"/>
          </w:tcPr>
          <w:p w14:paraId="372259EA" w14:textId="39DE6F1E" w:rsidR="000236F0" w:rsidRPr="005306AE" w:rsidRDefault="000236F0" w:rsidP="00A24545">
            <w:pPr>
              <w:keepNext/>
              <w:keepLines/>
              <w:spacing w:before="0" w:after="0" w:line="240" w:lineRule="auto"/>
              <w:jc w:val="center"/>
              <w:rPr>
                <w:sz w:val="20"/>
                <w:szCs w:val="20"/>
              </w:rPr>
            </w:pPr>
            <w:r w:rsidRPr="005306AE">
              <w:rPr>
                <w:sz w:val="20"/>
                <w:szCs w:val="20"/>
              </w:rPr>
              <w:t>2.53</w:t>
            </w:r>
          </w:p>
        </w:tc>
      </w:tr>
      <w:tr w:rsidR="000236F0" w:rsidRPr="007B133E" w14:paraId="2F580D67" w14:textId="77777777" w:rsidTr="00583BBA">
        <w:trPr>
          <w:trHeight w:val="288"/>
        </w:trPr>
        <w:tc>
          <w:tcPr>
            <w:tcW w:w="1885" w:type="dxa"/>
          </w:tcPr>
          <w:p w14:paraId="2676C890" w14:textId="1DD4BE66" w:rsidR="000236F0" w:rsidRPr="005306AE" w:rsidRDefault="000236F0" w:rsidP="00A24545">
            <w:pPr>
              <w:keepNext/>
              <w:keepLines/>
              <w:spacing w:before="0" w:after="0" w:line="240" w:lineRule="auto"/>
              <w:rPr>
                <w:sz w:val="20"/>
                <w:szCs w:val="20"/>
              </w:rPr>
            </w:pPr>
            <w:r w:rsidRPr="005306AE">
              <w:rPr>
                <w:sz w:val="20"/>
                <w:szCs w:val="20"/>
              </w:rPr>
              <w:t>Average</w:t>
            </w:r>
          </w:p>
        </w:tc>
        <w:tc>
          <w:tcPr>
            <w:tcW w:w="1620" w:type="dxa"/>
          </w:tcPr>
          <w:p w14:paraId="35F912EE" w14:textId="264B041B" w:rsidR="000236F0" w:rsidRPr="005306AE" w:rsidRDefault="000236F0" w:rsidP="00A24545">
            <w:pPr>
              <w:keepNext/>
              <w:keepLines/>
              <w:spacing w:before="0" w:after="0" w:line="240" w:lineRule="auto"/>
              <w:jc w:val="center"/>
              <w:rPr>
                <w:sz w:val="20"/>
                <w:szCs w:val="20"/>
              </w:rPr>
            </w:pPr>
            <w:r w:rsidRPr="005306AE">
              <w:rPr>
                <w:sz w:val="20"/>
                <w:szCs w:val="20"/>
              </w:rPr>
              <w:t>2.30</w:t>
            </w:r>
          </w:p>
        </w:tc>
      </w:tr>
      <w:tr w:rsidR="000236F0" w:rsidRPr="00583BBA" w14:paraId="4BF4E8AC" w14:textId="77777777" w:rsidTr="00583BBA">
        <w:trPr>
          <w:trHeight w:val="288"/>
        </w:trPr>
        <w:tc>
          <w:tcPr>
            <w:tcW w:w="3505" w:type="dxa"/>
            <w:gridSpan w:val="2"/>
          </w:tcPr>
          <w:p w14:paraId="05ACA9A6" w14:textId="2721D60A" w:rsidR="000236F0" w:rsidRPr="00583BBA" w:rsidRDefault="000236F0" w:rsidP="00A24545">
            <w:pPr>
              <w:keepNext/>
              <w:keepLines/>
              <w:spacing w:before="0" w:after="0" w:line="240" w:lineRule="auto"/>
              <w:jc w:val="center"/>
              <w:rPr>
                <w:b/>
                <w:bCs/>
                <w:sz w:val="20"/>
                <w:szCs w:val="20"/>
              </w:rPr>
            </w:pPr>
            <w:r w:rsidRPr="00583BBA">
              <w:rPr>
                <w:b/>
                <w:bCs/>
                <w:sz w:val="20"/>
                <w:szCs w:val="20"/>
              </w:rPr>
              <w:t>Y = 2.3</w:t>
            </w:r>
          </w:p>
        </w:tc>
      </w:tr>
    </w:tbl>
    <w:p w14:paraId="3A44DADC" w14:textId="75A965DA" w:rsidR="00256665" w:rsidRDefault="00256665" w:rsidP="00583BBA">
      <w:pPr>
        <w:pStyle w:val="TableFootnote"/>
      </w:pPr>
      <w:r w:rsidRPr="008A2FE6">
        <w:t>Cooling</w:t>
      </w:r>
      <w:r>
        <w:t xml:space="preserve"> Degree base of 42</w:t>
      </w:r>
      <w:r>
        <w:rPr>
          <w:rFonts w:cs="Calibri Light"/>
        </w:rPr>
        <w:t>°</w:t>
      </w:r>
      <w:r>
        <w:t>F</w:t>
      </w:r>
    </w:p>
    <w:p w14:paraId="4F67024B" w14:textId="77777777" w:rsidR="000236F0" w:rsidRDefault="000236F0" w:rsidP="00583BBA"/>
    <w:p w14:paraId="01B366BB" w14:textId="0076AC24" w:rsidR="009337BD" w:rsidRPr="00EB73F3" w:rsidRDefault="007331D5" w:rsidP="009337BD">
      <w:r>
        <w:t>The</w:t>
      </w:r>
      <w:r w:rsidR="009337BD" w:rsidRPr="00EB73F3">
        <w:t xml:space="preserve"> </w:t>
      </w:r>
      <w:r w:rsidR="00D21EC2">
        <w:t>CDD</w:t>
      </w:r>
      <w:r w:rsidR="009337BD" w:rsidRPr="00EB73F3">
        <w:t xml:space="preserve"> base of 42</w:t>
      </w:r>
      <w:bookmarkStart w:id="44" w:name="_Hlk24451476"/>
      <w:r w:rsidR="00D21EC2">
        <w:t xml:space="preserve"> </w:t>
      </w:r>
      <w:r w:rsidR="000236F0">
        <w:rPr>
          <w:rFonts w:cs="Calibri Light"/>
        </w:rPr>
        <w:t>°</w:t>
      </w:r>
      <w:r w:rsidR="000236F0">
        <w:t>F</w:t>
      </w:r>
      <w:r w:rsidR="009337BD" w:rsidRPr="00EB73F3">
        <w:t xml:space="preserve"> </w:t>
      </w:r>
      <w:bookmarkEnd w:id="44"/>
      <w:r>
        <w:t>that was</w:t>
      </w:r>
      <w:r w:rsidR="009337BD" w:rsidRPr="00EB73F3">
        <w:t xml:space="preserve"> to generate the regression</w:t>
      </w:r>
      <w:r w:rsidR="00D21EC2">
        <w:t xml:space="preserve"> </w:t>
      </w:r>
      <w:r w:rsidR="009337BD" w:rsidRPr="00EB73F3">
        <w:t xml:space="preserve">was chosen for the following reasons. </w:t>
      </w:r>
    </w:p>
    <w:p w14:paraId="5A78BDAB" w14:textId="6FE66C51" w:rsidR="009337BD" w:rsidRPr="00EB73F3" w:rsidRDefault="009337BD" w:rsidP="007331D5">
      <w:pPr>
        <w:pStyle w:val="eTRMBulletedText"/>
      </w:pPr>
      <w:r w:rsidRPr="00EB73F3">
        <w:t>The typical 65</w:t>
      </w:r>
      <w:r w:rsidR="00D21EC2">
        <w:t xml:space="preserve"> </w:t>
      </w:r>
      <w:r w:rsidR="003729A9">
        <w:rPr>
          <w:rFonts w:cs="Calibri Light"/>
        </w:rPr>
        <w:t>°</w:t>
      </w:r>
      <w:r w:rsidR="003729A9">
        <w:t>F</w:t>
      </w:r>
      <w:r w:rsidRPr="00EB73F3">
        <w:t xml:space="preserve"> base is driven by outside temperatures. However, in a fast food environment, the thermostat will call for cooling prior to the outside temperature exceeding 65 </w:t>
      </w:r>
      <w:r w:rsidR="007331D5">
        <w:rPr>
          <w:rFonts w:cs="Calibri Light"/>
        </w:rPr>
        <w:t>°</w:t>
      </w:r>
      <w:r w:rsidR="007331D5">
        <w:t>F</w:t>
      </w:r>
      <w:r w:rsidR="007331D5" w:rsidRPr="00EB73F3" w:rsidDel="007331D5">
        <w:t xml:space="preserve"> </w:t>
      </w:r>
      <w:r w:rsidRPr="00EB73F3">
        <w:t xml:space="preserve">. This is due to various internal loads in a fast food setting (i.e. multiple people, cooking equipment, electronics, and constant traffic opening doors). </w:t>
      </w:r>
    </w:p>
    <w:p w14:paraId="651129A1" w14:textId="379BE93A" w:rsidR="009337BD" w:rsidRPr="00EB73F3" w:rsidRDefault="009337BD" w:rsidP="007331D5">
      <w:pPr>
        <w:pStyle w:val="eTRMBulletedText"/>
      </w:pPr>
      <w:r w:rsidRPr="00EB73F3">
        <w:t xml:space="preserve">The Y-intercept in this </w:t>
      </w:r>
      <w:r w:rsidR="00D21EC2">
        <w:t>regression</w:t>
      </w:r>
      <w:r w:rsidRPr="00EB73F3">
        <w:t xml:space="preserve"> model is close to zero with an inflection point of 28 CCD. This implies that at zero-degree days, there will be no </w:t>
      </w:r>
      <w:r w:rsidR="00D21EC2">
        <w:t xml:space="preserve">gas </w:t>
      </w:r>
      <w:r w:rsidRPr="00EB73F3">
        <w:t xml:space="preserve">savings. This is true for this measure. If the AC is off, savings are nonexistent.  </w:t>
      </w:r>
    </w:p>
    <w:p w14:paraId="5E76F488" w14:textId="0B4622B6" w:rsidR="009337BD" w:rsidRPr="00EB73F3" w:rsidRDefault="00D21EC2" w:rsidP="007331D5">
      <w:pPr>
        <w:pStyle w:val="eTRMBulletedText"/>
      </w:pPr>
      <w:r>
        <w:t>The w</w:t>
      </w:r>
      <w:r w:rsidR="009337BD" w:rsidRPr="00EB73F3">
        <w:t>eather data shows that for a base of CDD65 on March 25, 2014 there was zero CDD.</w:t>
      </w:r>
      <w:r>
        <w:rPr>
          <w:rStyle w:val="FootnoteReference"/>
        </w:rPr>
        <w:footnoteReference w:id="4"/>
      </w:r>
      <w:r w:rsidR="009337BD" w:rsidRPr="00EB73F3">
        <w:t xml:space="preserve"> This implies that there should be no AC activity. However, there were savings and therefore AC load must have been present. From the 114-day test data, 1.67 therms were saved on March 25, 2014.</w:t>
      </w:r>
      <w:r>
        <w:rPr>
          <w:rStyle w:val="FootnoteReference"/>
        </w:rPr>
        <w:footnoteReference w:id="5"/>
      </w:r>
      <w:r w:rsidR="009337BD" w:rsidRPr="00EB73F3">
        <w:t xml:space="preserve"> Applying the regression </w:t>
      </w:r>
      <w:r w:rsidR="00A44209">
        <w:t>model</w:t>
      </w:r>
      <w:r w:rsidR="009337BD" w:rsidRPr="00EB73F3">
        <w:t xml:space="preserve"> and the CDD days from a base of 42 </w:t>
      </w:r>
      <w:r>
        <w:rPr>
          <w:rFonts w:cs="Calibri Light"/>
        </w:rPr>
        <w:t>°</w:t>
      </w:r>
      <w:r>
        <w:t>F</w:t>
      </w:r>
      <w:r w:rsidR="009337BD" w:rsidRPr="00EB73F3">
        <w:t xml:space="preserve">, the following </w:t>
      </w:r>
      <w:r>
        <w:t>was</w:t>
      </w:r>
      <w:r w:rsidR="009337BD" w:rsidRPr="00EB73F3">
        <w:t xml:space="preserve"> observed:</w:t>
      </w:r>
      <w:r>
        <w:rPr>
          <w:rStyle w:val="FootnoteReference"/>
        </w:rPr>
        <w:footnoteReference w:id="6"/>
      </w:r>
    </w:p>
    <w:p w14:paraId="51632590" w14:textId="65AA4CD2" w:rsidR="008A2FE6" w:rsidRPr="00931868" w:rsidRDefault="009337BD" w:rsidP="00583BBA">
      <w:pPr>
        <w:ind w:left="1440"/>
        <w:rPr>
          <w:rFonts w:ascii="Cambria Math" w:hAnsi="Cambria Math"/>
          <w:i/>
          <w:iCs/>
          <w:sz w:val="20"/>
          <w:szCs w:val="22"/>
        </w:rPr>
      </w:pPr>
      <w:r w:rsidRPr="00931868">
        <w:rPr>
          <w:rFonts w:ascii="Cambria Math" w:hAnsi="Cambria Math"/>
          <w:i/>
          <w:iCs/>
          <w:sz w:val="20"/>
          <w:szCs w:val="22"/>
        </w:rPr>
        <w:t>Y = 0.08</w:t>
      </w:r>
      <w:r w:rsidR="007331D5" w:rsidRPr="00931868">
        <w:rPr>
          <w:rFonts w:ascii="Cambria Math" w:hAnsi="Cambria Math"/>
          <w:i/>
          <w:iCs/>
          <w:sz w:val="20"/>
          <w:szCs w:val="22"/>
        </w:rPr>
        <w:t xml:space="preserve"> x </w:t>
      </w:r>
      <w:r w:rsidRPr="00931868">
        <w:rPr>
          <w:rFonts w:ascii="Cambria Math" w:hAnsi="Cambria Math"/>
          <w:i/>
          <w:iCs/>
          <w:sz w:val="20"/>
          <w:szCs w:val="22"/>
        </w:rPr>
        <w:t xml:space="preserve">19.3 – 0.05 = 1.5 </w:t>
      </w:r>
      <w:r w:rsidR="00D21EC2" w:rsidRPr="00931868">
        <w:rPr>
          <w:rFonts w:ascii="Cambria Math" w:hAnsi="Cambria Math"/>
          <w:i/>
          <w:iCs/>
          <w:sz w:val="20"/>
          <w:szCs w:val="22"/>
        </w:rPr>
        <w:t>t</w:t>
      </w:r>
      <w:r w:rsidRPr="00931868">
        <w:rPr>
          <w:rFonts w:ascii="Cambria Math" w:hAnsi="Cambria Math"/>
          <w:i/>
          <w:iCs/>
          <w:sz w:val="20"/>
          <w:szCs w:val="22"/>
        </w:rPr>
        <w:t>herm</w:t>
      </w:r>
      <w:r w:rsidR="00D21EC2" w:rsidRPr="00931868">
        <w:rPr>
          <w:rFonts w:ascii="Cambria Math" w:hAnsi="Cambria Math"/>
          <w:i/>
          <w:iCs/>
          <w:sz w:val="20"/>
          <w:szCs w:val="22"/>
        </w:rPr>
        <w:t>s</w:t>
      </w:r>
    </w:p>
    <w:p w14:paraId="148FE697" w14:textId="51E96490" w:rsidR="009337BD" w:rsidRPr="00EB73F3" w:rsidRDefault="00D21EC2" w:rsidP="00583BBA">
      <w:pPr>
        <w:ind w:left="720"/>
      </w:pPr>
      <w:r>
        <w:t>This</w:t>
      </w:r>
      <w:r w:rsidR="009337BD" w:rsidRPr="00EB73F3">
        <w:t xml:space="preserve"> conservative </w:t>
      </w:r>
      <w:r>
        <w:t>result</w:t>
      </w:r>
      <w:r w:rsidR="009337BD" w:rsidRPr="00EB73F3">
        <w:t xml:space="preserve"> shows the </w:t>
      </w:r>
      <w:r>
        <w:t>regression</w:t>
      </w:r>
      <w:r w:rsidR="009337BD" w:rsidRPr="00EB73F3">
        <w:t xml:space="preserve"> model </w:t>
      </w:r>
      <w:r>
        <w:t xml:space="preserve">will predict </w:t>
      </w:r>
      <w:r w:rsidR="009337BD" w:rsidRPr="00EB73F3">
        <w:t>the actual savings</w:t>
      </w:r>
      <w:r>
        <w:t xml:space="preserve"> </w:t>
      </w:r>
      <w:proofErr w:type="gramStart"/>
      <w:r>
        <w:t>fairly closely</w:t>
      </w:r>
      <w:proofErr w:type="gramEnd"/>
      <w:r w:rsidR="009337BD" w:rsidRPr="00EB73F3">
        <w:t xml:space="preserve">. </w:t>
      </w:r>
    </w:p>
    <w:p w14:paraId="6F8DF8E2" w14:textId="3F55C9F7" w:rsidR="009337BD" w:rsidRPr="00EB73F3" w:rsidRDefault="009337BD" w:rsidP="007331D5">
      <w:pPr>
        <w:pStyle w:val="eTRMBulletedText"/>
      </w:pPr>
      <w:r w:rsidRPr="00EB73F3">
        <w:lastRenderedPageBreak/>
        <w:t xml:space="preserve">During a major interval during the test pilot, </w:t>
      </w:r>
      <w:r w:rsidR="002A158E">
        <w:t xml:space="preserve">the </w:t>
      </w:r>
      <w:r w:rsidRPr="00EB73F3">
        <w:t xml:space="preserve">AC </w:t>
      </w:r>
      <w:r w:rsidR="002A158E">
        <w:t xml:space="preserve">operation </w:t>
      </w:r>
      <w:r w:rsidRPr="00EB73F3">
        <w:t>status was recorded, and it was observed that it would cycle ON and OFF. There was not a single day in which the AC was OFF for the entire day.</w:t>
      </w:r>
      <w:r w:rsidR="002A158E">
        <w:rPr>
          <w:rStyle w:val="FootnoteReference"/>
        </w:rPr>
        <w:footnoteReference w:id="7"/>
      </w:r>
      <w:r w:rsidR="00AC3CFD">
        <w:rPr>
          <w:rStyle w:val="CommentReference"/>
        </w:rPr>
        <w:t xml:space="preserve"> </w:t>
      </w:r>
    </w:p>
    <w:p w14:paraId="3491E1A0" w14:textId="6AF2FF84" w:rsidR="009337BD" w:rsidRDefault="009337BD" w:rsidP="009337BD">
      <w:r w:rsidRPr="00EB73F3">
        <w:t>However, the regression savings are limited to an inflection point of 28 CDD. This point value was chosen to force the Y-intercept to be close to a value of zero for zero savings at zero CDD.  Any value of CDD exceeding 28 will yield the same energy savings as 28 CDD. This was done to limit the amount of energy saved</w:t>
      </w:r>
      <w:r w:rsidR="00D472C6">
        <w:t>,</w:t>
      </w:r>
      <w:r w:rsidRPr="00EB73F3">
        <w:t xml:space="preserve"> otherwise savings will indefinitely increase linearly with CDD. This limitation was </w:t>
      </w:r>
      <w:r w:rsidR="00D472C6">
        <w:t>established</w:t>
      </w:r>
      <w:r w:rsidRPr="00EB73F3">
        <w:t xml:space="preserve"> due to the hot water demand, which depends on the facility daily traffic. </w:t>
      </w:r>
    </w:p>
    <w:p w14:paraId="5B8983C6" w14:textId="6B2F00AA" w:rsidR="009337BD" w:rsidRPr="00EB73F3" w:rsidRDefault="009337BD" w:rsidP="009337BD">
      <w:r w:rsidRPr="00EB73F3">
        <w:t xml:space="preserve">During the monitor period, 28 CDD was the maximum value that produced savings </w:t>
      </w:r>
      <w:proofErr w:type="gramStart"/>
      <w:r w:rsidRPr="00EB73F3">
        <w:t xml:space="preserve">and </w:t>
      </w:r>
      <w:r w:rsidR="00D472C6">
        <w:t>also</w:t>
      </w:r>
      <w:proofErr w:type="gramEnd"/>
      <w:r w:rsidR="00D472C6">
        <w:t xml:space="preserve"> the highest</w:t>
      </w:r>
      <w:r w:rsidRPr="00EB73F3">
        <w:t xml:space="preserve"> CDD</w:t>
      </w:r>
      <w:r w:rsidR="00D472C6">
        <w:t xml:space="preserve"> value</w:t>
      </w:r>
      <w:r w:rsidRPr="00EB73F3">
        <w:t xml:space="preserve">. This relates water demand that needs heating and available heat to preheat it. Beyond this CDD value, the hot water demand volume and available heat are not modeled by the current data. The hot water demand could be much </w:t>
      </w:r>
      <w:r w:rsidR="00D472C6">
        <w:t>greater</w:t>
      </w:r>
      <w:r w:rsidRPr="00EB73F3">
        <w:t xml:space="preserve"> than the amount of heating that could be provided by this measure, therefore savings past 28</w:t>
      </w:r>
      <w:r w:rsidR="004019B5">
        <w:t xml:space="preserve"> </w:t>
      </w:r>
      <w:r w:rsidRPr="00EB73F3">
        <w:t>CDD are uniform. This is done by having two sections in the regression</w:t>
      </w:r>
      <w:r w:rsidR="00D472C6">
        <w:t>: slope and flat</w:t>
      </w:r>
      <w:r w:rsidRPr="00EB73F3">
        <w:t>. The following plot represents the linear regression against CDD:</w:t>
      </w:r>
    </w:p>
    <w:p w14:paraId="45913C2A" w14:textId="77777777" w:rsidR="009337BD" w:rsidRPr="00EB73F3" w:rsidRDefault="009337BD" w:rsidP="009337BD">
      <w:pPr>
        <w:jc w:val="center"/>
      </w:pPr>
      <w:r w:rsidRPr="00583BBA">
        <w:rPr>
          <w:rFonts w:ascii="Arial" w:hAnsi="Arial" w:cs="Arial"/>
          <w:noProof/>
        </w:rPr>
        <w:drawing>
          <wp:inline distT="0" distB="0" distL="0" distR="0" wp14:anchorId="6819C52E" wp14:editId="07E8647B">
            <wp:extent cx="4564554" cy="256032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8">
                      <a:extLst>
                        <a:ext uri="{28A0092B-C50C-407E-A947-70E740481C1C}">
                          <a14:useLocalDpi xmlns:a14="http://schemas.microsoft.com/office/drawing/2010/main" val="0"/>
                        </a:ext>
                      </a:extLst>
                    </a:blip>
                    <a:srcRect l="1926" t="10938" r="6907" b="2657"/>
                    <a:stretch/>
                  </pic:blipFill>
                  <pic:spPr bwMode="auto">
                    <a:xfrm>
                      <a:off x="0" y="0"/>
                      <a:ext cx="4564554" cy="2560320"/>
                    </a:xfrm>
                    <a:prstGeom prst="rect">
                      <a:avLst/>
                    </a:prstGeom>
                    <a:noFill/>
                    <a:ln>
                      <a:noFill/>
                    </a:ln>
                    <a:extLst>
                      <a:ext uri="{53640926-AAD7-44D8-BBD7-CCE9431645EC}">
                        <a14:shadowObscured xmlns:a14="http://schemas.microsoft.com/office/drawing/2010/main"/>
                      </a:ext>
                    </a:extLst>
                  </pic:spPr>
                </pic:pic>
              </a:graphicData>
            </a:graphic>
          </wp:inline>
        </w:drawing>
      </w:r>
    </w:p>
    <w:p w14:paraId="6FBDED0C" w14:textId="4AEF6C6D" w:rsidR="009337BD" w:rsidRPr="00EB73F3" w:rsidRDefault="00E34597" w:rsidP="009337BD">
      <w:pPr>
        <w:jc w:val="center"/>
        <w:rPr>
          <w:b/>
          <w:bCs/>
          <w:i/>
        </w:rPr>
      </w:pPr>
      <w:r>
        <w:rPr>
          <w:b/>
          <w:bCs/>
        </w:rPr>
        <w:t xml:space="preserve">Gas Energy </w:t>
      </w:r>
      <w:r w:rsidR="009337BD" w:rsidRPr="00EB73F3">
        <w:rPr>
          <w:b/>
          <w:bCs/>
        </w:rPr>
        <w:t xml:space="preserve">Savings </w:t>
      </w:r>
      <w:r>
        <w:rPr>
          <w:b/>
          <w:bCs/>
        </w:rPr>
        <w:t>vs</w:t>
      </w:r>
      <w:r w:rsidR="009337BD" w:rsidRPr="00EB73F3">
        <w:rPr>
          <w:b/>
          <w:bCs/>
        </w:rPr>
        <w:t xml:space="preserve"> C</w:t>
      </w:r>
      <w:r>
        <w:rPr>
          <w:b/>
          <w:bCs/>
        </w:rPr>
        <w:t xml:space="preserve">ooling </w:t>
      </w:r>
      <w:r w:rsidR="009337BD" w:rsidRPr="00EB73F3">
        <w:rPr>
          <w:b/>
          <w:bCs/>
        </w:rPr>
        <w:t>D</w:t>
      </w:r>
      <w:r>
        <w:rPr>
          <w:b/>
          <w:bCs/>
        </w:rPr>
        <w:t xml:space="preserve">egree </w:t>
      </w:r>
      <w:r w:rsidR="009337BD" w:rsidRPr="00EB73F3">
        <w:rPr>
          <w:b/>
          <w:bCs/>
        </w:rPr>
        <w:t>D</w:t>
      </w:r>
      <w:r>
        <w:rPr>
          <w:b/>
          <w:bCs/>
        </w:rPr>
        <w:t xml:space="preserve">ays </w:t>
      </w:r>
    </w:p>
    <w:p w14:paraId="4567815C" w14:textId="77777777" w:rsidR="009337BD" w:rsidRDefault="009337BD" w:rsidP="00583BBA"/>
    <w:p w14:paraId="3B2B5B20" w14:textId="1E4735BD" w:rsidR="003636B8" w:rsidRPr="00774C83" w:rsidRDefault="003636B8" w:rsidP="00774C83">
      <w:pPr>
        <w:pStyle w:val="eTRMHeading4"/>
      </w:pPr>
      <w:r w:rsidRPr="00774C83">
        <w:t xml:space="preserve">Daily </w:t>
      </w:r>
      <w:r w:rsidR="00075297">
        <w:t xml:space="preserve">Unit </w:t>
      </w:r>
      <w:r w:rsidRPr="00774C83">
        <w:t>Energy Savings</w:t>
      </w:r>
    </w:p>
    <w:p w14:paraId="6E3B37E5" w14:textId="2D948804" w:rsidR="00EB73F3" w:rsidRPr="00EB73F3" w:rsidRDefault="003E474F" w:rsidP="00EB73F3">
      <w:r>
        <w:t xml:space="preserve">The regression </w:t>
      </w:r>
      <w:r w:rsidR="00075297">
        <w:t>model constructed</w:t>
      </w:r>
      <w:r>
        <w:t xml:space="preserve"> </w:t>
      </w:r>
      <w:r w:rsidR="007331D5">
        <w:t>from the field test</w:t>
      </w:r>
      <w:r>
        <w:t xml:space="preserve"> data </w:t>
      </w:r>
      <w:r w:rsidR="007331D5">
        <w:t>was</w:t>
      </w:r>
      <w:r w:rsidR="00EB73F3" w:rsidRPr="00EB73F3">
        <w:t xml:space="preserve"> used along with convective principles to estimate </w:t>
      </w:r>
      <w:r w:rsidR="00200A79">
        <w:t>daily</w:t>
      </w:r>
      <w:r>
        <w:t xml:space="preserve"> </w:t>
      </w:r>
      <w:r w:rsidR="00042456">
        <w:t>UES</w:t>
      </w:r>
      <w:r w:rsidR="00075297">
        <w:t>, as shown below</w:t>
      </w:r>
      <w:r>
        <w:t>.</w:t>
      </w:r>
    </w:p>
    <w:p w14:paraId="49836907" w14:textId="6ADE65B4" w:rsidR="00EB73F3" w:rsidRPr="007F558C" w:rsidRDefault="00177C99" w:rsidP="007F558C">
      <w:pPr>
        <w:ind w:left="720"/>
        <w:rPr>
          <w:bCs/>
          <w:i/>
          <w:sz w:val="18"/>
          <w:szCs w:val="20"/>
        </w:rPr>
      </w:pPr>
      <m:oMathPara>
        <m:oMathParaPr>
          <m:jc m:val="left"/>
        </m:oMathParaPr>
        <m:oMath>
          <m:sSub>
            <m:sSubPr>
              <m:ctrlPr>
                <w:rPr>
                  <w:rFonts w:ascii="Cambria Math" w:hAnsi="Cambria Math"/>
                  <w:bCs/>
                  <w:i/>
                  <w:sz w:val="18"/>
                  <w:szCs w:val="20"/>
                </w:rPr>
              </m:ctrlPr>
            </m:sSubPr>
            <m:e>
              <m:r>
                <w:rPr>
                  <w:rFonts w:ascii="Cambria Math" w:hAnsi="Cambria Math"/>
                  <w:sz w:val="18"/>
                  <w:szCs w:val="20"/>
                </w:rPr>
                <m:t>UES</m:t>
              </m:r>
            </m:e>
            <m:sub>
              <m:r>
                <w:rPr>
                  <w:rFonts w:ascii="Cambria Math" w:hAnsi="Cambria Math"/>
                  <w:sz w:val="18"/>
                  <w:szCs w:val="20"/>
                </w:rPr>
                <m:t>daily, therm</m:t>
              </m:r>
            </m:sub>
          </m:sSub>
          <m:r>
            <w:rPr>
              <w:rFonts w:ascii="Cambria Math" w:hAnsi="Cambria Math"/>
              <w:sz w:val="18"/>
              <w:szCs w:val="20"/>
            </w:rPr>
            <m:t>=</m:t>
          </m:r>
          <m:d>
            <m:dPr>
              <m:begChr m:val="["/>
              <m:endChr m:val="]"/>
              <m:ctrlPr>
                <w:rPr>
                  <w:rFonts w:ascii="Cambria Math" w:hAnsi="Cambria Math"/>
                  <w:bCs/>
                  <w:i/>
                  <w:sz w:val="18"/>
                  <w:szCs w:val="20"/>
                </w:rPr>
              </m:ctrlPr>
            </m:dPr>
            <m:e>
              <m:f>
                <m:fPr>
                  <m:ctrlPr>
                    <w:rPr>
                      <w:rFonts w:ascii="Cambria Math" w:hAnsi="Cambria Math"/>
                      <w:bCs/>
                      <w:i/>
                      <w:sz w:val="18"/>
                      <w:szCs w:val="20"/>
                    </w:rPr>
                  </m:ctrlPr>
                </m:fPr>
                <m:num>
                  <m:r>
                    <w:rPr>
                      <w:rFonts w:ascii="Cambria Math" w:hAnsi="Cambria Math"/>
                      <w:sz w:val="18"/>
                      <w:szCs w:val="20"/>
                    </w:rPr>
                    <m:t>m</m:t>
                  </m:r>
                  <m:sSub>
                    <m:sSubPr>
                      <m:ctrlPr>
                        <w:rPr>
                          <w:rFonts w:ascii="Cambria Math" w:hAnsi="Cambria Math"/>
                          <w:bCs/>
                          <w:i/>
                          <w:sz w:val="18"/>
                          <w:szCs w:val="20"/>
                        </w:rPr>
                      </m:ctrlPr>
                    </m:sSubPr>
                    <m:e>
                      <m:r>
                        <w:rPr>
                          <w:rFonts w:ascii="Cambria Math" w:hAnsi="Cambria Math"/>
                          <w:sz w:val="18"/>
                          <w:szCs w:val="20"/>
                        </w:rPr>
                        <m:t>*C</m:t>
                      </m:r>
                    </m:e>
                    <m:sub>
                      <m:r>
                        <w:rPr>
                          <w:rFonts w:ascii="Cambria Math" w:hAnsi="Cambria Math"/>
                          <w:sz w:val="18"/>
                          <w:szCs w:val="20"/>
                        </w:rPr>
                        <m:t>p</m:t>
                      </m:r>
                    </m:sub>
                  </m:sSub>
                  <m:r>
                    <w:rPr>
                      <w:rFonts w:ascii="Cambria Math" w:hAnsi="Cambria Math"/>
                      <w:sz w:val="18"/>
                      <w:szCs w:val="20"/>
                    </w:rPr>
                    <m:t>*ΔT</m:t>
                  </m:r>
                </m:num>
                <m:den>
                  <m:r>
                    <w:rPr>
                      <w:rFonts w:ascii="Cambria Math" w:hAnsi="Cambria Math"/>
                      <w:sz w:val="18"/>
                      <w:szCs w:val="20"/>
                    </w:rPr>
                    <m:t>η*100,000</m:t>
                  </m:r>
                </m:den>
              </m:f>
            </m:e>
          </m:d>
        </m:oMath>
      </m:oMathPara>
    </w:p>
    <w:p w14:paraId="14B36C9E" w14:textId="319EB002" w:rsidR="00EB73F3" w:rsidRPr="00774C83" w:rsidRDefault="00EB73F3" w:rsidP="007F558C">
      <w:pPr>
        <w:ind w:left="1440"/>
        <w:rPr>
          <w:sz w:val="18"/>
          <w:szCs w:val="18"/>
        </w:rPr>
      </w:pPr>
      <m:oMath>
        <m:r>
          <w:rPr>
            <w:rFonts w:ascii="Cambria Math" w:hAnsi="Cambria Math"/>
            <w:sz w:val="18"/>
            <w:szCs w:val="18"/>
          </w:rPr>
          <m:t>m=pounds of water used</m:t>
        </m:r>
        <m:sSub>
          <m:sSubPr>
            <m:ctrlPr>
              <w:rPr>
                <w:rFonts w:ascii="Cambria Math" w:hAnsi="Cambria Math"/>
                <w:i/>
                <w:sz w:val="18"/>
                <w:szCs w:val="18"/>
              </w:rPr>
            </m:ctrlPr>
          </m:sSubPr>
          <m:e>
            <m:r>
              <w:rPr>
                <w:rFonts w:ascii="Cambria Math" w:hAnsi="Cambria Math"/>
                <w:sz w:val="18"/>
                <w:szCs w:val="18"/>
              </w:rPr>
              <m:t>(lb</m:t>
            </m:r>
          </m:e>
          <m:sub>
            <m:r>
              <w:rPr>
                <w:rFonts w:ascii="Cambria Math" w:hAnsi="Cambria Math"/>
                <w:sz w:val="18"/>
                <w:szCs w:val="18"/>
              </w:rPr>
              <m:t>m</m:t>
            </m:r>
          </m:sub>
        </m:sSub>
        <m:r>
          <w:rPr>
            <w:rFonts w:ascii="Cambria Math" w:hAnsi="Cambria Math"/>
            <w:sz w:val="18"/>
            <w:szCs w:val="18"/>
          </w:rPr>
          <m:t>)=</m:t>
        </m:r>
        <m:r>
          <m:rPr>
            <m:sty m:val="p"/>
          </m:rPr>
          <w:rPr>
            <w:rFonts w:ascii="Cambria Math" w:hAnsi="Cambria Math"/>
            <w:sz w:val="18"/>
            <w:szCs w:val="18"/>
          </w:rPr>
          <m:t>g</m:t>
        </m:r>
        <m:r>
          <w:rPr>
            <w:rFonts w:ascii="Cambria Math" w:hAnsi="Cambria Math"/>
            <w:sz w:val="18"/>
            <w:szCs w:val="18"/>
          </w:rPr>
          <m:t>allons used x Specific weight of water</m:t>
        </m:r>
      </m:oMath>
      <w:r w:rsidR="006F7DD7" w:rsidRPr="00774C83">
        <w:rPr>
          <w:i/>
          <w:iCs/>
          <w:sz w:val="18"/>
          <w:szCs w:val="18"/>
        </w:rPr>
        <w:t xml:space="preserve"> </w:t>
      </w:r>
    </w:p>
    <w:p w14:paraId="425AB633" w14:textId="4BB47CC9" w:rsidR="00EB73F3" w:rsidRPr="00774C83" w:rsidRDefault="00177C99" w:rsidP="007F558C">
      <w:pPr>
        <w:ind w:left="144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p</m:t>
              </m:r>
            </m:sub>
          </m:sSub>
          <m:r>
            <w:rPr>
              <w:rFonts w:ascii="Cambria Math" w:hAnsi="Cambria Math"/>
              <w:sz w:val="18"/>
              <w:szCs w:val="18"/>
            </w:rPr>
            <m:t>=Water Specific Heat Capacity</m:t>
          </m:r>
        </m:oMath>
      </m:oMathPara>
    </w:p>
    <w:p w14:paraId="2D0CA356" w14:textId="041E67BC" w:rsidR="00EB73F3" w:rsidRPr="00774C83" w:rsidRDefault="00EB73F3" w:rsidP="007F558C">
      <w:pPr>
        <w:ind w:left="1440"/>
        <w:rPr>
          <w:sz w:val="18"/>
          <w:szCs w:val="18"/>
        </w:rPr>
      </w:pPr>
      <m:oMathPara>
        <m:oMathParaPr>
          <m:jc m:val="left"/>
        </m:oMathParaPr>
        <m:oMath>
          <m:r>
            <w:rPr>
              <w:rFonts w:ascii="Cambria Math" w:hAnsi="Cambria Math"/>
              <w:sz w:val="18"/>
              <w:szCs w:val="18"/>
            </w:rPr>
            <w:lastRenderedPageBreak/>
            <m:t>ΔT=Water Heater outlet-Storage Tank Outlet</m:t>
          </m:r>
        </m:oMath>
      </m:oMathPara>
    </w:p>
    <w:p w14:paraId="58E2E7CB" w14:textId="1D7E502B" w:rsidR="00EB73F3" w:rsidRPr="00774C83" w:rsidRDefault="00EB73F3" w:rsidP="007F558C">
      <w:pPr>
        <w:ind w:left="1440"/>
        <w:rPr>
          <w:sz w:val="18"/>
          <w:szCs w:val="18"/>
        </w:rPr>
      </w:pPr>
      <m:oMathPara>
        <m:oMathParaPr>
          <m:jc m:val="left"/>
        </m:oMathParaPr>
        <m:oMath>
          <m:r>
            <w:rPr>
              <w:rFonts w:ascii="Cambria Math" w:hAnsi="Cambria Math"/>
              <w:sz w:val="18"/>
              <w:szCs w:val="18"/>
            </w:rPr>
            <m:t>η=Water Heater Efficiency</m:t>
          </m:r>
        </m:oMath>
      </m:oMathPara>
    </w:p>
    <w:p w14:paraId="12A315F1" w14:textId="5C857C64" w:rsidR="002F0F42" w:rsidRPr="00774C83" w:rsidRDefault="002F0F42" w:rsidP="007F558C">
      <w:pPr>
        <w:ind w:left="1440"/>
        <w:rPr>
          <w:sz w:val="18"/>
          <w:szCs w:val="20"/>
        </w:rPr>
      </w:pPr>
      <m:oMathPara>
        <m:oMath>
          <m:r>
            <m:rPr>
              <m:sty m:val="p"/>
            </m:rPr>
            <w:rPr>
              <w:rFonts w:ascii="Cambria Math" w:hAnsi="Cambria Math"/>
              <w:sz w:val="18"/>
              <w:szCs w:val="20"/>
            </w:rPr>
            <m:t xml:space="preserve">100,000 </m:t>
          </m:r>
          <m:r>
            <w:rPr>
              <w:rFonts w:ascii="Cambria Math" w:hAnsi="Cambria Math"/>
              <w:sz w:val="18"/>
              <w:szCs w:val="20"/>
            </w:rPr>
            <m:t>Btu</m:t>
          </m:r>
          <m:r>
            <m:rPr>
              <m:sty m:val="p"/>
            </m:rPr>
            <w:rPr>
              <w:rFonts w:ascii="Cambria Math" w:hAnsi="Cambria Math"/>
              <w:sz w:val="18"/>
              <w:szCs w:val="20"/>
            </w:rPr>
            <m:t>=</m:t>
          </m:r>
          <m:r>
            <w:rPr>
              <w:rFonts w:ascii="Cambria Math" w:hAnsi="Cambria Math"/>
              <w:sz w:val="18"/>
              <w:szCs w:val="20"/>
            </w:rPr>
            <m:t>Btu</m:t>
          </m:r>
          <m:r>
            <m:rPr>
              <m:sty m:val="p"/>
            </m:rPr>
            <w:rPr>
              <w:rFonts w:ascii="Cambria Math" w:hAnsi="Cambria Math"/>
              <w:sz w:val="18"/>
              <w:szCs w:val="20"/>
            </w:rPr>
            <m:t xml:space="preserve"> </m:t>
          </m:r>
          <m:r>
            <w:rPr>
              <w:rFonts w:ascii="Cambria Math" w:hAnsi="Cambria Math"/>
              <w:sz w:val="18"/>
              <w:szCs w:val="20"/>
            </w:rPr>
            <m:t>to</m:t>
          </m:r>
          <m:r>
            <m:rPr>
              <m:sty m:val="p"/>
            </m:rPr>
            <w:rPr>
              <w:rFonts w:ascii="Cambria Math" w:hAnsi="Cambria Math"/>
              <w:sz w:val="18"/>
              <w:szCs w:val="20"/>
            </w:rPr>
            <m:t xml:space="preserve"> </m:t>
          </m:r>
          <m:r>
            <w:rPr>
              <w:rFonts w:ascii="Cambria Math" w:hAnsi="Cambria Math"/>
              <w:sz w:val="18"/>
              <w:szCs w:val="20"/>
            </w:rPr>
            <m:t>Therm</m:t>
          </m:r>
          <m:r>
            <m:rPr>
              <m:sty m:val="p"/>
            </m:rPr>
            <w:rPr>
              <w:rFonts w:ascii="Cambria Math" w:hAnsi="Cambria Math"/>
              <w:sz w:val="18"/>
              <w:szCs w:val="20"/>
            </w:rPr>
            <m:t xml:space="preserve"> </m:t>
          </m:r>
          <m:r>
            <w:rPr>
              <w:rFonts w:ascii="Cambria Math" w:hAnsi="Cambria Math"/>
              <w:sz w:val="18"/>
              <w:szCs w:val="20"/>
            </w:rPr>
            <m:t>conversion</m:t>
          </m:r>
          <m:r>
            <m:rPr>
              <m:sty m:val="p"/>
            </m:rPr>
            <w:rPr>
              <w:rFonts w:ascii="Cambria Math" w:hAnsi="Cambria Math"/>
              <w:sz w:val="18"/>
              <w:szCs w:val="20"/>
            </w:rPr>
            <m:t xml:space="preserve"> </m:t>
          </m:r>
          <m:r>
            <w:rPr>
              <w:rFonts w:ascii="Cambria Math" w:hAnsi="Cambria Math"/>
              <w:sz w:val="18"/>
              <w:szCs w:val="20"/>
            </w:rPr>
            <m:t>factor</m:t>
          </m:r>
        </m:oMath>
      </m:oMathPara>
    </w:p>
    <w:p w14:paraId="505E6879" w14:textId="4D2E2358" w:rsidR="000B30B0" w:rsidRDefault="000B30B0" w:rsidP="00075297"/>
    <w:p w14:paraId="11DE8887" w14:textId="77777777" w:rsidR="00D11650" w:rsidRDefault="00D11650" w:rsidP="00D11650">
      <w:r>
        <w:t xml:space="preserve">The inputs for the calculation used to estimate daily gas UES are measurements recorded from the 114-day monitored test period. </w:t>
      </w:r>
    </w:p>
    <w:p w14:paraId="21285998" w14:textId="77777777" w:rsidR="00D11650" w:rsidRDefault="00D11650" w:rsidP="00931868">
      <w:pPr>
        <w:pStyle w:val="FigureCaption"/>
      </w:pPr>
      <w:r>
        <w:t>Daily UEC Inputs and Assumptions</w:t>
      </w:r>
    </w:p>
    <w:tbl>
      <w:tblPr>
        <w:tblStyle w:val="TableGrid"/>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05"/>
        <w:gridCol w:w="1800"/>
        <w:gridCol w:w="3330"/>
      </w:tblGrid>
      <w:tr w:rsidR="00D11650" w:rsidRPr="00D11650" w14:paraId="07F4F27D" w14:textId="77777777" w:rsidTr="00065642">
        <w:trPr>
          <w:trHeight w:val="288"/>
        </w:trPr>
        <w:tc>
          <w:tcPr>
            <w:tcW w:w="4405" w:type="dxa"/>
            <w:shd w:val="clear" w:color="auto" w:fill="E7E7E7" w:themeFill="text1" w:themeFillTint="1A"/>
            <w:vAlign w:val="center"/>
          </w:tcPr>
          <w:p w14:paraId="2401D8B0" w14:textId="77777777" w:rsidR="00D11650" w:rsidRPr="002B6439" w:rsidRDefault="00D11650" w:rsidP="00583BBA">
            <w:pPr>
              <w:pStyle w:val="eTRMTextBoxTitle"/>
            </w:pPr>
            <w:r w:rsidRPr="002B6439">
              <w:t>Input</w:t>
            </w:r>
          </w:p>
        </w:tc>
        <w:tc>
          <w:tcPr>
            <w:tcW w:w="1800" w:type="dxa"/>
            <w:shd w:val="clear" w:color="auto" w:fill="E7E7E7" w:themeFill="text1" w:themeFillTint="1A"/>
            <w:vAlign w:val="center"/>
          </w:tcPr>
          <w:p w14:paraId="75E2A1D0" w14:textId="77777777" w:rsidR="00D11650" w:rsidRPr="002B6439" w:rsidRDefault="00D11650" w:rsidP="00583BBA">
            <w:pPr>
              <w:pStyle w:val="eTRMTextBoxTitle"/>
            </w:pPr>
            <w:r w:rsidRPr="002B6439">
              <w:t>Value</w:t>
            </w:r>
          </w:p>
        </w:tc>
        <w:tc>
          <w:tcPr>
            <w:tcW w:w="3330" w:type="dxa"/>
            <w:shd w:val="clear" w:color="auto" w:fill="E7E7E7" w:themeFill="text1" w:themeFillTint="1A"/>
            <w:vAlign w:val="center"/>
          </w:tcPr>
          <w:p w14:paraId="1266AC84" w14:textId="77777777" w:rsidR="00D11650" w:rsidRPr="002B6439" w:rsidRDefault="00D11650" w:rsidP="00583BBA">
            <w:pPr>
              <w:pStyle w:val="eTRMTextBoxTitle"/>
            </w:pPr>
            <w:r w:rsidRPr="002B6439">
              <w:t>Source</w:t>
            </w:r>
          </w:p>
        </w:tc>
      </w:tr>
      <w:tr w:rsidR="007331D5" w:rsidRPr="00D11650" w14:paraId="6E280B25" w14:textId="77777777" w:rsidTr="00065642">
        <w:trPr>
          <w:trHeight w:val="288"/>
        </w:trPr>
        <w:tc>
          <w:tcPr>
            <w:tcW w:w="4405" w:type="dxa"/>
            <w:vAlign w:val="center"/>
          </w:tcPr>
          <w:p w14:paraId="5B07512B" w14:textId="77777777" w:rsidR="007331D5" w:rsidRPr="002B6439" w:rsidRDefault="007331D5" w:rsidP="007B133E">
            <w:pPr>
              <w:spacing w:before="0" w:after="0" w:line="240" w:lineRule="auto"/>
              <w:rPr>
                <w:rFonts w:cs="Calibri Light"/>
                <w:sz w:val="20"/>
                <w:szCs w:val="20"/>
              </w:rPr>
            </w:pPr>
            <w:r w:rsidRPr="002B6439">
              <w:rPr>
                <w:rFonts w:cs="Calibri Light"/>
                <w:sz w:val="20"/>
                <w:szCs w:val="20"/>
              </w:rPr>
              <w:t>Gallons (gal)</w:t>
            </w:r>
          </w:p>
        </w:tc>
        <w:tc>
          <w:tcPr>
            <w:tcW w:w="1800" w:type="dxa"/>
            <w:vAlign w:val="center"/>
          </w:tcPr>
          <w:p w14:paraId="42C1BB75" w14:textId="77777777" w:rsidR="007331D5" w:rsidRPr="002B6439" w:rsidRDefault="007331D5" w:rsidP="007B133E">
            <w:pPr>
              <w:spacing w:before="0" w:after="0" w:line="240" w:lineRule="auto"/>
              <w:jc w:val="center"/>
              <w:rPr>
                <w:rFonts w:cs="Calibri Light"/>
                <w:sz w:val="20"/>
                <w:szCs w:val="20"/>
              </w:rPr>
            </w:pPr>
            <w:r w:rsidRPr="002B6439">
              <w:rPr>
                <w:rFonts w:cs="Calibri Light"/>
                <w:sz w:val="20"/>
                <w:szCs w:val="20"/>
              </w:rPr>
              <w:t>Varies</w:t>
            </w:r>
          </w:p>
        </w:tc>
        <w:tc>
          <w:tcPr>
            <w:tcW w:w="3330" w:type="dxa"/>
            <w:vMerge w:val="restart"/>
            <w:vAlign w:val="center"/>
          </w:tcPr>
          <w:p w14:paraId="1D41535E" w14:textId="4C01FDA0" w:rsidR="007331D5" w:rsidRPr="00931868" w:rsidRDefault="007331D5" w:rsidP="007B133E">
            <w:pPr>
              <w:spacing w:before="0" w:after="0" w:line="240" w:lineRule="auto"/>
              <w:rPr>
                <w:rFonts w:cs="Calibri Light"/>
                <w:sz w:val="18"/>
                <w:szCs w:val="20"/>
              </w:rPr>
            </w:pPr>
            <w:r w:rsidRPr="00931868">
              <w:rPr>
                <w:iCs/>
                <w:sz w:val="18"/>
                <w:szCs w:val="20"/>
              </w:rPr>
              <w:t>Southern California Gas Company (SCG). 2019. “SWHC048-01 Energy Savings.xlsb.”</w:t>
            </w:r>
          </w:p>
        </w:tc>
      </w:tr>
      <w:tr w:rsidR="007331D5" w:rsidRPr="00D11650" w14:paraId="2F29F219" w14:textId="77777777" w:rsidTr="00065642">
        <w:trPr>
          <w:trHeight w:val="288"/>
        </w:trPr>
        <w:tc>
          <w:tcPr>
            <w:tcW w:w="4405" w:type="dxa"/>
            <w:vAlign w:val="center"/>
          </w:tcPr>
          <w:p w14:paraId="11408E05" w14:textId="77777777" w:rsidR="007331D5" w:rsidRPr="002B6439" w:rsidRDefault="007331D5" w:rsidP="007B133E">
            <w:pPr>
              <w:spacing w:before="0" w:after="0" w:line="240" w:lineRule="auto"/>
              <w:rPr>
                <w:rFonts w:cs="Calibri Light"/>
                <w:sz w:val="20"/>
                <w:szCs w:val="20"/>
              </w:rPr>
            </w:pPr>
            <w:r w:rsidRPr="002B6439">
              <w:rPr>
                <w:rFonts w:cs="Calibri Light"/>
                <w:sz w:val="20"/>
                <w:szCs w:val="20"/>
              </w:rPr>
              <w:t>Water Heater Outlet Temperature</w:t>
            </w:r>
          </w:p>
        </w:tc>
        <w:tc>
          <w:tcPr>
            <w:tcW w:w="1800" w:type="dxa"/>
            <w:vAlign w:val="center"/>
          </w:tcPr>
          <w:p w14:paraId="749507CA" w14:textId="77777777" w:rsidR="007331D5" w:rsidRPr="002B6439" w:rsidRDefault="007331D5" w:rsidP="007B133E">
            <w:pPr>
              <w:spacing w:before="0" w:after="0" w:line="240" w:lineRule="auto"/>
              <w:jc w:val="center"/>
              <w:rPr>
                <w:rFonts w:cs="Calibri Light"/>
                <w:sz w:val="20"/>
                <w:szCs w:val="20"/>
              </w:rPr>
            </w:pPr>
            <w:r w:rsidRPr="002B6439">
              <w:rPr>
                <w:rFonts w:cs="Calibri Light"/>
                <w:sz w:val="20"/>
                <w:szCs w:val="20"/>
              </w:rPr>
              <w:t>Varies</w:t>
            </w:r>
          </w:p>
        </w:tc>
        <w:tc>
          <w:tcPr>
            <w:tcW w:w="3330" w:type="dxa"/>
            <w:vMerge/>
            <w:vAlign w:val="center"/>
          </w:tcPr>
          <w:p w14:paraId="1458D682" w14:textId="4BDBAC05" w:rsidR="007331D5" w:rsidRPr="002B6439" w:rsidRDefault="007331D5" w:rsidP="007B133E">
            <w:pPr>
              <w:spacing w:before="0" w:after="0" w:line="240" w:lineRule="auto"/>
              <w:rPr>
                <w:rFonts w:cs="Calibri Light"/>
                <w:sz w:val="20"/>
                <w:szCs w:val="20"/>
              </w:rPr>
            </w:pPr>
          </w:p>
        </w:tc>
      </w:tr>
      <w:tr w:rsidR="007331D5" w:rsidRPr="00D11650" w14:paraId="2D8A6C2A" w14:textId="77777777" w:rsidTr="00065642">
        <w:trPr>
          <w:trHeight w:val="288"/>
        </w:trPr>
        <w:tc>
          <w:tcPr>
            <w:tcW w:w="4405" w:type="dxa"/>
            <w:vAlign w:val="center"/>
          </w:tcPr>
          <w:p w14:paraId="77397DBF" w14:textId="77777777" w:rsidR="007331D5" w:rsidRPr="002B6439" w:rsidRDefault="007331D5" w:rsidP="007B133E">
            <w:pPr>
              <w:spacing w:before="0" w:after="0" w:line="240" w:lineRule="auto"/>
              <w:rPr>
                <w:rFonts w:cs="Calibri Light"/>
                <w:sz w:val="20"/>
                <w:szCs w:val="20"/>
              </w:rPr>
            </w:pPr>
            <w:r w:rsidRPr="002B6439">
              <w:rPr>
                <w:rFonts w:cs="Calibri Light"/>
                <w:sz w:val="20"/>
                <w:szCs w:val="20"/>
              </w:rPr>
              <w:t>Storage Tank Outlet Temperature</w:t>
            </w:r>
          </w:p>
        </w:tc>
        <w:tc>
          <w:tcPr>
            <w:tcW w:w="1800" w:type="dxa"/>
            <w:vAlign w:val="center"/>
          </w:tcPr>
          <w:p w14:paraId="739A1254" w14:textId="77777777" w:rsidR="007331D5" w:rsidRPr="002B6439" w:rsidRDefault="007331D5" w:rsidP="007B133E">
            <w:pPr>
              <w:spacing w:before="0" w:after="0" w:line="240" w:lineRule="auto"/>
              <w:jc w:val="center"/>
              <w:rPr>
                <w:rFonts w:cs="Calibri Light"/>
                <w:sz w:val="20"/>
                <w:szCs w:val="20"/>
              </w:rPr>
            </w:pPr>
            <w:r w:rsidRPr="002B6439">
              <w:rPr>
                <w:rFonts w:cs="Calibri Light"/>
                <w:sz w:val="20"/>
                <w:szCs w:val="20"/>
              </w:rPr>
              <w:t>Varies</w:t>
            </w:r>
          </w:p>
        </w:tc>
        <w:tc>
          <w:tcPr>
            <w:tcW w:w="3330" w:type="dxa"/>
            <w:vMerge/>
            <w:vAlign w:val="center"/>
          </w:tcPr>
          <w:p w14:paraId="78BE09C9" w14:textId="45630D0A" w:rsidR="007331D5" w:rsidRPr="002B6439" w:rsidRDefault="007331D5" w:rsidP="007B133E">
            <w:pPr>
              <w:spacing w:before="0" w:after="0" w:line="240" w:lineRule="auto"/>
              <w:rPr>
                <w:rFonts w:cs="Calibri Light"/>
                <w:sz w:val="20"/>
                <w:szCs w:val="20"/>
              </w:rPr>
            </w:pPr>
          </w:p>
        </w:tc>
      </w:tr>
      <w:tr w:rsidR="007331D5" w:rsidRPr="00D11650" w14:paraId="3A288D8D" w14:textId="77777777" w:rsidTr="00065642">
        <w:trPr>
          <w:trHeight w:val="288"/>
        </w:trPr>
        <w:tc>
          <w:tcPr>
            <w:tcW w:w="4405" w:type="dxa"/>
            <w:vAlign w:val="center"/>
          </w:tcPr>
          <w:p w14:paraId="326462BF" w14:textId="5637822E" w:rsidR="007331D5" w:rsidRPr="002B6439" w:rsidRDefault="007331D5" w:rsidP="007B133E">
            <w:pPr>
              <w:spacing w:before="0" w:after="0" w:line="240" w:lineRule="auto"/>
              <w:rPr>
                <w:rFonts w:cs="Calibri Light"/>
                <w:sz w:val="20"/>
                <w:szCs w:val="20"/>
              </w:rPr>
            </w:pPr>
            <w:r w:rsidRPr="002B6439">
              <w:rPr>
                <w:rFonts w:cs="Calibri Light"/>
                <w:sz w:val="20"/>
                <w:szCs w:val="20"/>
              </w:rPr>
              <w:t xml:space="preserve">Water heater </w:t>
            </w:r>
            <w:r>
              <w:rPr>
                <w:rFonts w:cs="Calibri Light"/>
                <w:sz w:val="20"/>
                <w:szCs w:val="20"/>
              </w:rPr>
              <w:t>thermal e</w:t>
            </w:r>
            <w:r w:rsidRPr="002B6439">
              <w:rPr>
                <w:rFonts w:cs="Calibri Light"/>
                <w:sz w:val="20"/>
                <w:szCs w:val="20"/>
              </w:rPr>
              <w:t>fficiency (η)</w:t>
            </w:r>
          </w:p>
        </w:tc>
        <w:tc>
          <w:tcPr>
            <w:tcW w:w="1800" w:type="dxa"/>
            <w:vAlign w:val="center"/>
          </w:tcPr>
          <w:p w14:paraId="502D0AE8" w14:textId="77777777" w:rsidR="007331D5" w:rsidRPr="002B6439" w:rsidRDefault="007331D5" w:rsidP="007B133E">
            <w:pPr>
              <w:spacing w:before="0" w:after="0" w:line="240" w:lineRule="auto"/>
              <w:jc w:val="center"/>
              <w:rPr>
                <w:rFonts w:cs="Calibri Light"/>
                <w:sz w:val="20"/>
                <w:szCs w:val="20"/>
              </w:rPr>
            </w:pPr>
            <w:r w:rsidRPr="002B6439">
              <w:rPr>
                <w:rFonts w:cs="Calibri Light"/>
                <w:sz w:val="20"/>
                <w:szCs w:val="20"/>
              </w:rPr>
              <w:t>80%</w:t>
            </w:r>
          </w:p>
        </w:tc>
        <w:tc>
          <w:tcPr>
            <w:tcW w:w="3330" w:type="dxa"/>
            <w:vMerge/>
            <w:vAlign w:val="center"/>
          </w:tcPr>
          <w:p w14:paraId="6B085818" w14:textId="383E534C" w:rsidR="007331D5" w:rsidRPr="002B6439" w:rsidRDefault="007331D5" w:rsidP="007B133E">
            <w:pPr>
              <w:spacing w:before="0" w:after="0" w:line="240" w:lineRule="auto"/>
              <w:rPr>
                <w:rFonts w:cs="Calibri Light"/>
                <w:sz w:val="20"/>
                <w:szCs w:val="20"/>
              </w:rPr>
            </w:pPr>
          </w:p>
        </w:tc>
      </w:tr>
      <w:tr w:rsidR="00D11650" w:rsidRPr="00D11650" w14:paraId="7D94582B" w14:textId="77777777" w:rsidTr="00065642">
        <w:trPr>
          <w:trHeight w:val="288"/>
        </w:trPr>
        <w:tc>
          <w:tcPr>
            <w:tcW w:w="4405" w:type="dxa"/>
            <w:vAlign w:val="center"/>
          </w:tcPr>
          <w:p w14:paraId="40CB2560" w14:textId="77777777" w:rsidR="00D11650" w:rsidRPr="00D11650" w:rsidRDefault="00D11650" w:rsidP="007B133E">
            <w:pPr>
              <w:spacing w:before="0" w:after="0" w:line="240" w:lineRule="auto"/>
              <w:rPr>
                <w:rFonts w:cs="Calibri Light"/>
                <w:sz w:val="20"/>
                <w:szCs w:val="20"/>
              </w:rPr>
            </w:pPr>
            <w:r w:rsidRPr="00D11650">
              <w:rPr>
                <w:rFonts w:cs="Calibri Light"/>
                <w:sz w:val="20"/>
                <w:szCs w:val="20"/>
              </w:rPr>
              <w:t>Specific Weight of Water (lb</w:t>
            </w:r>
            <w:r w:rsidRPr="00D11650">
              <w:rPr>
                <w:rFonts w:cs="Calibri Light"/>
                <w:sz w:val="20"/>
                <w:szCs w:val="20"/>
                <w:vertAlign w:val="subscript"/>
              </w:rPr>
              <w:t>m</w:t>
            </w:r>
            <w:r w:rsidRPr="00D11650">
              <w:rPr>
                <w:rFonts w:cs="Calibri Light"/>
                <w:sz w:val="20"/>
                <w:szCs w:val="20"/>
              </w:rPr>
              <w:t>/gallons)</w:t>
            </w:r>
          </w:p>
        </w:tc>
        <w:tc>
          <w:tcPr>
            <w:tcW w:w="1800" w:type="dxa"/>
            <w:vAlign w:val="center"/>
          </w:tcPr>
          <w:p w14:paraId="4C65B4D5" w14:textId="77777777" w:rsidR="00D11650" w:rsidRPr="00D11650" w:rsidRDefault="00D11650" w:rsidP="007B133E">
            <w:pPr>
              <w:spacing w:before="0" w:after="0" w:line="240" w:lineRule="auto"/>
              <w:jc w:val="center"/>
              <w:rPr>
                <w:rFonts w:cs="Calibri Light"/>
                <w:sz w:val="20"/>
                <w:szCs w:val="20"/>
              </w:rPr>
            </w:pPr>
            <w:r w:rsidRPr="00D11650">
              <w:rPr>
                <w:rFonts w:cs="Calibri Light"/>
                <w:sz w:val="20"/>
                <w:szCs w:val="20"/>
              </w:rPr>
              <w:t>8.33</w:t>
            </w:r>
          </w:p>
        </w:tc>
        <w:tc>
          <w:tcPr>
            <w:tcW w:w="3330" w:type="dxa"/>
            <w:vMerge w:val="restart"/>
            <w:vAlign w:val="center"/>
          </w:tcPr>
          <w:p w14:paraId="74D72ADD" w14:textId="403F4F15" w:rsidR="00D11650" w:rsidRPr="002B6439" w:rsidRDefault="007331D5" w:rsidP="007B133E">
            <w:pPr>
              <w:spacing w:before="0" w:after="0" w:line="240" w:lineRule="auto"/>
              <w:rPr>
                <w:rFonts w:cs="Calibri Light"/>
                <w:i/>
                <w:iCs/>
                <w:sz w:val="20"/>
                <w:szCs w:val="20"/>
              </w:rPr>
            </w:pPr>
            <w:r>
              <w:rPr>
                <w:rFonts w:cs="Calibri Light"/>
                <w:i/>
                <w:iCs/>
                <w:sz w:val="20"/>
                <w:szCs w:val="20"/>
              </w:rPr>
              <w:t>Constants</w:t>
            </w:r>
          </w:p>
        </w:tc>
      </w:tr>
      <w:tr w:rsidR="00D11650" w:rsidRPr="00D11650" w14:paraId="6DF267AE" w14:textId="77777777" w:rsidTr="00065642">
        <w:trPr>
          <w:trHeight w:val="288"/>
        </w:trPr>
        <w:tc>
          <w:tcPr>
            <w:tcW w:w="4405" w:type="dxa"/>
            <w:vAlign w:val="center"/>
          </w:tcPr>
          <w:p w14:paraId="3F075B70" w14:textId="77777777" w:rsidR="00D11650" w:rsidRPr="00D11650" w:rsidRDefault="00D11650" w:rsidP="007B133E">
            <w:pPr>
              <w:spacing w:before="0" w:after="0" w:line="240" w:lineRule="auto"/>
              <w:rPr>
                <w:rFonts w:cs="Calibri Light"/>
                <w:sz w:val="20"/>
                <w:szCs w:val="20"/>
              </w:rPr>
            </w:pPr>
            <w:r w:rsidRPr="00D11650">
              <w:rPr>
                <w:rFonts w:cs="Calibri Light"/>
                <w:sz w:val="20"/>
                <w:szCs w:val="20"/>
              </w:rPr>
              <w:t>Specific Heat Capacity of Water, Cp (BTU/lb</w:t>
            </w:r>
            <w:r w:rsidRPr="00D11650">
              <w:rPr>
                <w:rFonts w:cs="Calibri Light"/>
                <w:sz w:val="20"/>
                <w:szCs w:val="20"/>
                <w:vertAlign w:val="subscript"/>
              </w:rPr>
              <w:t>m</w:t>
            </w:r>
            <w:r w:rsidRPr="00D11650">
              <w:rPr>
                <w:rFonts w:cs="Calibri Light"/>
                <w:sz w:val="20"/>
                <w:szCs w:val="20"/>
              </w:rPr>
              <w:t>×°F)</w:t>
            </w:r>
          </w:p>
        </w:tc>
        <w:tc>
          <w:tcPr>
            <w:tcW w:w="1800" w:type="dxa"/>
            <w:vAlign w:val="center"/>
          </w:tcPr>
          <w:p w14:paraId="184BAE3C" w14:textId="77777777" w:rsidR="00D11650" w:rsidRPr="00D11650" w:rsidRDefault="00D11650" w:rsidP="007B133E">
            <w:pPr>
              <w:spacing w:before="0" w:after="0" w:line="240" w:lineRule="auto"/>
              <w:jc w:val="center"/>
              <w:rPr>
                <w:rFonts w:cs="Calibri Light"/>
                <w:sz w:val="20"/>
                <w:szCs w:val="20"/>
              </w:rPr>
            </w:pPr>
            <w:r w:rsidRPr="00D11650">
              <w:rPr>
                <w:rFonts w:cs="Calibri Light"/>
                <w:sz w:val="20"/>
                <w:szCs w:val="20"/>
              </w:rPr>
              <w:t>1</w:t>
            </w:r>
          </w:p>
        </w:tc>
        <w:tc>
          <w:tcPr>
            <w:tcW w:w="3330" w:type="dxa"/>
            <w:vMerge/>
            <w:vAlign w:val="center"/>
          </w:tcPr>
          <w:p w14:paraId="2A67DF68" w14:textId="77777777" w:rsidR="00D11650" w:rsidRPr="00D11650" w:rsidRDefault="00D11650" w:rsidP="007B133E">
            <w:pPr>
              <w:spacing w:before="0" w:after="0" w:line="240" w:lineRule="auto"/>
              <w:rPr>
                <w:rFonts w:cs="Calibri Light"/>
                <w:sz w:val="20"/>
                <w:szCs w:val="20"/>
              </w:rPr>
            </w:pPr>
          </w:p>
        </w:tc>
      </w:tr>
      <w:tr w:rsidR="00D11650" w:rsidRPr="00D11650" w14:paraId="330707A2" w14:textId="77777777" w:rsidTr="00065642">
        <w:trPr>
          <w:trHeight w:val="288"/>
        </w:trPr>
        <w:tc>
          <w:tcPr>
            <w:tcW w:w="4405" w:type="dxa"/>
            <w:vAlign w:val="center"/>
          </w:tcPr>
          <w:p w14:paraId="07806252" w14:textId="77777777" w:rsidR="00D11650" w:rsidRPr="002B6439" w:rsidRDefault="00D11650" w:rsidP="007B133E">
            <w:pPr>
              <w:spacing w:before="0" w:after="0" w:line="240" w:lineRule="auto"/>
              <w:rPr>
                <w:rFonts w:cs="Calibri Light"/>
                <w:sz w:val="20"/>
                <w:szCs w:val="20"/>
              </w:rPr>
            </w:pPr>
            <w:r w:rsidRPr="002B6439">
              <w:rPr>
                <w:rFonts w:cs="Calibri Light"/>
                <w:sz w:val="20"/>
                <w:szCs w:val="20"/>
              </w:rPr>
              <w:t>Btu to Therm Conversion Factor</w:t>
            </w:r>
            <w:r w:rsidRPr="00D11650">
              <w:rPr>
                <w:rFonts w:cs="Calibri Light"/>
                <w:sz w:val="20"/>
                <w:szCs w:val="20"/>
              </w:rPr>
              <w:t xml:space="preserve"> (Btu/Therm)</w:t>
            </w:r>
          </w:p>
        </w:tc>
        <w:tc>
          <w:tcPr>
            <w:tcW w:w="1800" w:type="dxa"/>
            <w:vAlign w:val="center"/>
          </w:tcPr>
          <w:p w14:paraId="63488AAD" w14:textId="77777777" w:rsidR="00D11650" w:rsidRPr="002B6439" w:rsidRDefault="00D11650" w:rsidP="007B133E">
            <w:pPr>
              <w:spacing w:before="0" w:after="0" w:line="240" w:lineRule="auto"/>
              <w:jc w:val="center"/>
              <w:rPr>
                <w:rFonts w:cs="Calibri Light"/>
                <w:sz w:val="20"/>
                <w:szCs w:val="20"/>
              </w:rPr>
            </w:pPr>
            <w:r w:rsidRPr="002B6439">
              <w:rPr>
                <w:rFonts w:cs="Calibri Light"/>
                <w:sz w:val="20"/>
                <w:szCs w:val="20"/>
              </w:rPr>
              <w:t xml:space="preserve">100,000 </w:t>
            </w:r>
          </w:p>
        </w:tc>
        <w:tc>
          <w:tcPr>
            <w:tcW w:w="3330" w:type="dxa"/>
            <w:vMerge/>
            <w:vAlign w:val="center"/>
          </w:tcPr>
          <w:p w14:paraId="70FCF319" w14:textId="77777777" w:rsidR="00D11650" w:rsidRPr="002B6439" w:rsidRDefault="00D11650" w:rsidP="007B133E">
            <w:pPr>
              <w:spacing w:before="0" w:after="0" w:line="240" w:lineRule="auto"/>
              <w:rPr>
                <w:rFonts w:cs="Calibri Light"/>
                <w:sz w:val="20"/>
                <w:szCs w:val="20"/>
              </w:rPr>
            </w:pPr>
          </w:p>
        </w:tc>
      </w:tr>
    </w:tbl>
    <w:p w14:paraId="2FBCADF1" w14:textId="77777777" w:rsidR="00D11650" w:rsidRDefault="00D11650" w:rsidP="00D11650"/>
    <w:p w14:paraId="2BC715A1" w14:textId="3BAF8568" w:rsidR="00075297" w:rsidRPr="002B6439" w:rsidRDefault="00075297" w:rsidP="00075297">
      <w:pPr>
        <w:pStyle w:val="eTRMHeading4"/>
      </w:pPr>
      <w:r>
        <w:t>Annual Unit</w:t>
      </w:r>
      <w:r w:rsidRPr="002B6439">
        <w:t xml:space="preserve"> Energy Savings</w:t>
      </w:r>
    </w:p>
    <w:p w14:paraId="7355E083" w14:textId="260BC236" w:rsidR="00075297" w:rsidRPr="00EB73F3" w:rsidRDefault="00075297" w:rsidP="00075297">
      <w:r w:rsidRPr="00EB73F3">
        <w:t xml:space="preserve">The regression was applied to </w:t>
      </w:r>
      <w:r>
        <w:t xml:space="preserve">8760 </w:t>
      </w:r>
      <w:r w:rsidRPr="00EB73F3">
        <w:t>weather approved data by the CP</w:t>
      </w:r>
      <w:r>
        <w:t>UC</w:t>
      </w:r>
      <w:r w:rsidRPr="00EB73F3">
        <w:t>.</w:t>
      </w:r>
      <w:r w:rsidR="007F558C">
        <w:rPr>
          <w:rStyle w:val="FootnoteReference"/>
        </w:rPr>
        <w:footnoteReference w:id="8"/>
      </w:r>
      <w:r>
        <w:t xml:space="preserve"> The annual gas UES was calculated as the sum of the hourly gas energy savings obtained from the regression.</w:t>
      </w:r>
      <w:r w:rsidRPr="00EB73F3">
        <w:t xml:space="preserve"> </w:t>
      </w:r>
      <w:r>
        <w:t>Savings by climate zone are shown below.</w:t>
      </w:r>
    </w:p>
    <w:p w14:paraId="409308EA" w14:textId="77777777" w:rsidR="00075297" w:rsidRPr="00EB73F3" w:rsidRDefault="00075297" w:rsidP="00075297">
      <w:pPr>
        <w:jc w:val="center"/>
        <w:rPr>
          <w:i/>
        </w:rPr>
      </w:pPr>
      <w:r w:rsidRPr="00EB73F3">
        <w:rPr>
          <w:i/>
          <w:noProof/>
        </w:rPr>
        <w:lastRenderedPageBreak/>
        <w:drawing>
          <wp:inline distT="0" distB="0" distL="0" distR="0" wp14:anchorId="63C9C535" wp14:editId="5C2E270B">
            <wp:extent cx="5937250" cy="3295650"/>
            <wp:effectExtent l="0" t="0" r="635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63AB18D" w14:textId="77777777" w:rsidR="00075297" w:rsidRDefault="00075297" w:rsidP="007B6170"/>
    <w:p w14:paraId="05D4A3BE" w14:textId="5D1CC303" w:rsidR="007C6028" w:rsidRPr="00EB73F3" w:rsidRDefault="007C6028" w:rsidP="00774C83">
      <w:pPr>
        <w:pStyle w:val="eTRMHeading4"/>
      </w:pPr>
      <w:r>
        <w:t>Sample Calculation</w:t>
      </w:r>
    </w:p>
    <w:p w14:paraId="6DB806C1" w14:textId="65B70E50" w:rsidR="00EB73F3" w:rsidRPr="00EB73F3" w:rsidRDefault="00EB73F3" w:rsidP="00EB73F3">
      <w:r w:rsidRPr="00EB73F3">
        <w:t>For a sample calculation of March 22, 2014 with the following values</w:t>
      </w:r>
      <w:r w:rsidR="000636E4">
        <w:t>.</w:t>
      </w:r>
    </w:p>
    <w:p w14:paraId="47E80E54" w14:textId="7BE14031" w:rsidR="00EB73F3" w:rsidRPr="00774C83" w:rsidRDefault="007C6028" w:rsidP="00774C83">
      <w:pPr>
        <w:ind w:left="810"/>
        <w:rPr>
          <w:rFonts w:ascii="Cambria Math" w:hAnsi="Cambria Math"/>
          <w:sz w:val="20"/>
          <w:szCs w:val="20"/>
          <w:oMath/>
        </w:rPr>
      </w:pPr>
      <m:oMathPara>
        <m:oMathParaPr>
          <m:jc m:val="left"/>
        </m:oMathParaPr>
        <m:oMath>
          <m:r>
            <w:rPr>
              <w:rFonts w:ascii="Cambria Math" w:hAnsi="Cambria Math"/>
              <w:sz w:val="20"/>
              <w:szCs w:val="20"/>
            </w:rPr>
            <m:t>Water use = 4 gallons = 4 gallons*8.33</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lb</m:t>
                  </m:r>
                </m:e>
                <m:sub>
                  <m:r>
                    <w:rPr>
                      <w:rFonts w:ascii="Cambria Math" w:hAnsi="Cambria Math"/>
                      <w:sz w:val="20"/>
                      <w:szCs w:val="20"/>
                    </w:rPr>
                    <m:t>m</m:t>
                  </m:r>
                </m:sub>
              </m:sSub>
            </m:num>
            <m:den>
              <m:r>
                <w:rPr>
                  <w:rFonts w:ascii="Cambria Math" w:hAnsi="Cambria Math"/>
                  <w:sz w:val="20"/>
                  <w:szCs w:val="20"/>
                </w:rPr>
                <m:t>gallons</m:t>
              </m:r>
            </m:den>
          </m:f>
          <m:r>
            <w:rPr>
              <w:rFonts w:ascii="Cambria Math" w:hAnsi="Cambria Math"/>
              <w:sz w:val="20"/>
              <w:szCs w:val="20"/>
            </w:rPr>
            <m:t xml:space="preserve">=33.32 </m:t>
          </m:r>
          <m:sSub>
            <m:sSubPr>
              <m:ctrlPr>
                <w:rPr>
                  <w:rFonts w:ascii="Cambria Math" w:hAnsi="Cambria Math"/>
                  <w:i/>
                  <w:sz w:val="20"/>
                  <w:szCs w:val="20"/>
                </w:rPr>
              </m:ctrlPr>
            </m:sSubPr>
            <m:e>
              <m:r>
                <w:rPr>
                  <w:rFonts w:ascii="Cambria Math" w:hAnsi="Cambria Math"/>
                  <w:sz w:val="20"/>
                  <w:szCs w:val="20"/>
                </w:rPr>
                <m:t>lb</m:t>
              </m:r>
            </m:e>
            <m:sub>
              <m:r>
                <w:rPr>
                  <w:rFonts w:ascii="Cambria Math" w:hAnsi="Cambria Math"/>
                  <w:sz w:val="20"/>
                  <w:szCs w:val="20"/>
                </w:rPr>
                <m:t>m</m:t>
              </m:r>
            </m:sub>
          </m:sSub>
        </m:oMath>
      </m:oMathPara>
    </w:p>
    <w:p w14:paraId="34561B08" w14:textId="549289E3" w:rsidR="006F7DD7" w:rsidRPr="00774C83" w:rsidRDefault="007C6028" w:rsidP="00774C83">
      <w:pPr>
        <w:ind w:left="810"/>
        <w:rPr>
          <w:rFonts w:ascii="Cambria Math" w:hAnsi="Cambria Math"/>
          <w:sz w:val="20"/>
          <w:szCs w:val="20"/>
          <w:oMath/>
        </w:rPr>
      </w:pPr>
      <m:oMathPara>
        <m:oMathParaPr>
          <m:jc m:val="left"/>
        </m:oMathParaPr>
        <m:oMath>
          <m:r>
            <w:rPr>
              <w:rFonts w:ascii="Cambria Math" w:hAnsi="Cambria Math"/>
              <w:sz w:val="20"/>
              <w:szCs w:val="20"/>
            </w:rPr>
            <m:t xml:space="preserve">Water specific heat capacity=1 </m:t>
          </m:r>
          <m:f>
            <m:fPr>
              <m:ctrlPr>
                <w:rPr>
                  <w:rFonts w:ascii="Cambria Math" w:hAnsi="Cambria Math"/>
                  <w:i/>
                  <w:sz w:val="20"/>
                  <w:szCs w:val="20"/>
                </w:rPr>
              </m:ctrlPr>
            </m:fPr>
            <m:num>
              <m:r>
                <w:rPr>
                  <w:rFonts w:ascii="Cambria Math" w:hAnsi="Cambria Math"/>
                  <w:sz w:val="20"/>
                  <w:szCs w:val="20"/>
                </w:rPr>
                <m:t>BTU</m:t>
              </m:r>
            </m:num>
            <m:den>
              <m:sSub>
                <m:sSubPr>
                  <m:ctrlPr>
                    <w:rPr>
                      <w:rFonts w:ascii="Cambria Math" w:hAnsi="Cambria Math"/>
                      <w:i/>
                      <w:sz w:val="20"/>
                      <w:szCs w:val="20"/>
                    </w:rPr>
                  </m:ctrlPr>
                </m:sSubPr>
                <m:e>
                  <m:r>
                    <w:rPr>
                      <w:rFonts w:ascii="Cambria Math" w:hAnsi="Cambria Math"/>
                      <w:sz w:val="20"/>
                      <w:szCs w:val="20"/>
                    </w:rPr>
                    <m:t>lb</m:t>
                  </m:r>
                </m:e>
                <m:sub>
                  <m:r>
                    <w:rPr>
                      <w:rFonts w:ascii="Cambria Math" w:hAnsi="Cambria Math"/>
                      <w:sz w:val="20"/>
                      <w:szCs w:val="20"/>
                    </w:rPr>
                    <m:t>m</m:t>
                  </m:r>
                </m:sub>
              </m:sSub>
              <m:r>
                <w:rPr>
                  <w:rFonts w:ascii="Cambria Math" w:hAnsi="Cambria Math"/>
                  <w:sz w:val="20"/>
                  <w:szCs w:val="20"/>
                </w:rPr>
                <m:t>*°F</m:t>
              </m:r>
            </m:den>
          </m:f>
        </m:oMath>
      </m:oMathPara>
    </w:p>
    <w:p w14:paraId="2C7A7BDE" w14:textId="40B8314E" w:rsidR="00EB73F3" w:rsidRPr="00774C83" w:rsidRDefault="007C6028" w:rsidP="00774C83">
      <w:pPr>
        <w:ind w:left="810"/>
        <w:rPr>
          <w:rFonts w:ascii="Cambria Math" w:hAnsi="Cambria Math"/>
          <w:sz w:val="20"/>
          <w:szCs w:val="20"/>
          <w:oMath/>
        </w:rPr>
      </w:pPr>
      <m:oMathPara>
        <m:oMathParaPr>
          <m:jc m:val="left"/>
        </m:oMathParaPr>
        <m:oMath>
          <m:r>
            <w:rPr>
              <w:rFonts w:ascii="Cambria Math" w:hAnsi="Cambria Math"/>
              <w:sz w:val="20"/>
              <w:szCs w:val="20"/>
            </w:rPr>
            <m:t>Water Inlet Main Temperature = 67 °F</m:t>
          </m:r>
        </m:oMath>
      </m:oMathPara>
    </w:p>
    <w:p w14:paraId="71EEB4D5" w14:textId="057FE414" w:rsidR="00EB73F3" w:rsidRPr="00774C83" w:rsidRDefault="00DC3C47" w:rsidP="00774C83">
      <w:pPr>
        <w:ind w:left="810"/>
        <w:rPr>
          <w:rFonts w:ascii="Cambria Math" w:hAnsi="Cambria Math"/>
          <w:sz w:val="20"/>
          <w:szCs w:val="20"/>
          <w:oMath/>
        </w:rPr>
      </w:pPr>
      <m:oMathPara>
        <m:oMathParaPr>
          <m:jc m:val="left"/>
        </m:oMathParaPr>
        <m:oMath>
          <m:r>
            <w:rPr>
              <w:rFonts w:ascii="Cambria Math" w:hAnsi="Cambria Math"/>
              <w:sz w:val="20"/>
              <w:szCs w:val="20"/>
            </w:rPr>
            <m:t xml:space="preserve">Water Heater ΔT = </m:t>
          </m:r>
          <m:d>
            <m:dPr>
              <m:ctrlPr>
                <w:rPr>
                  <w:rFonts w:ascii="Cambria Math" w:hAnsi="Cambria Math"/>
                  <w:i/>
                  <w:sz w:val="20"/>
                  <w:szCs w:val="20"/>
                </w:rPr>
              </m:ctrlPr>
            </m:dPr>
            <m:e>
              <m:r>
                <w:rPr>
                  <w:rFonts w:ascii="Cambria Math" w:hAnsi="Cambria Math"/>
                  <w:sz w:val="20"/>
                  <w:szCs w:val="20"/>
                </w:rPr>
                <m:t>144 – 67</m:t>
              </m:r>
            </m:e>
          </m:d>
          <m:r>
            <w:rPr>
              <w:rFonts w:ascii="Cambria Math" w:hAnsi="Cambria Math"/>
              <w:sz w:val="20"/>
              <w:szCs w:val="20"/>
            </w:rPr>
            <m:t xml:space="preserve">°F = 77 °F </m:t>
          </m:r>
          <m:d>
            <m:dPr>
              <m:ctrlPr>
                <w:rPr>
                  <w:rFonts w:ascii="Cambria Math" w:hAnsi="Cambria Math"/>
                  <w:i/>
                  <w:sz w:val="20"/>
                  <w:szCs w:val="20"/>
                </w:rPr>
              </m:ctrlPr>
            </m:dPr>
            <m:e>
              <m:r>
                <w:rPr>
                  <w:rFonts w:ascii="Cambria Math" w:hAnsi="Cambria Math"/>
                  <w:sz w:val="20"/>
                  <w:szCs w:val="20"/>
                </w:rPr>
                <m:t>No HR-RTU</m:t>
              </m:r>
            </m:e>
          </m:d>
        </m:oMath>
      </m:oMathPara>
    </w:p>
    <w:p w14:paraId="6D9C50A1" w14:textId="5E6406C9" w:rsidR="00EB73F3" w:rsidRPr="00774C83" w:rsidRDefault="00DC3C47" w:rsidP="00774C83">
      <w:pPr>
        <w:ind w:left="810"/>
        <w:rPr>
          <w:rFonts w:ascii="Cambria Math" w:hAnsi="Cambria Math"/>
          <w:sz w:val="20"/>
          <w:szCs w:val="20"/>
          <w:oMath/>
        </w:rPr>
      </w:pPr>
      <m:oMathPara>
        <m:oMathParaPr>
          <m:jc m:val="left"/>
        </m:oMathParaPr>
        <m:oMath>
          <m:r>
            <w:rPr>
              <w:rFonts w:ascii="Cambria Math" w:hAnsi="Cambria Math"/>
              <w:sz w:val="20"/>
              <w:szCs w:val="20"/>
            </w:rPr>
            <m:t xml:space="preserve">Water Heater ΔT = </m:t>
          </m:r>
          <m:d>
            <m:dPr>
              <m:ctrlPr>
                <w:rPr>
                  <w:rFonts w:ascii="Cambria Math" w:hAnsi="Cambria Math"/>
                  <w:i/>
                  <w:sz w:val="20"/>
                  <w:szCs w:val="20"/>
                </w:rPr>
              </m:ctrlPr>
            </m:dPr>
            <m:e>
              <m:r>
                <w:rPr>
                  <w:rFonts w:ascii="Cambria Math" w:hAnsi="Cambria Math"/>
                  <w:sz w:val="20"/>
                  <w:szCs w:val="20"/>
                </w:rPr>
                <m:t>144 – 90</m:t>
              </m:r>
            </m:e>
          </m:d>
          <m:r>
            <w:rPr>
              <w:rFonts w:ascii="Cambria Math" w:hAnsi="Cambria Math"/>
              <w:sz w:val="20"/>
              <w:szCs w:val="20"/>
            </w:rPr>
            <m:t xml:space="preserve">°F = 54 °F </m:t>
          </m:r>
          <m:d>
            <m:dPr>
              <m:ctrlPr>
                <w:rPr>
                  <w:rFonts w:ascii="Cambria Math" w:hAnsi="Cambria Math"/>
                  <w:i/>
                  <w:sz w:val="20"/>
                  <w:szCs w:val="20"/>
                </w:rPr>
              </m:ctrlPr>
            </m:dPr>
            <m:e>
              <m:r>
                <w:rPr>
                  <w:rFonts w:ascii="Cambria Math" w:hAnsi="Cambria Math"/>
                  <w:sz w:val="20"/>
                  <w:szCs w:val="20"/>
                </w:rPr>
                <m:t>With HR-RTU</m:t>
              </m:r>
            </m:e>
          </m:d>
        </m:oMath>
      </m:oMathPara>
    </w:p>
    <w:p w14:paraId="4D2B565F" w14:textId="77777777" w:rsidR="00886FE6" w:rsidRPr="00886FE6" w:rsidRDefault="00886FE6" w:rsidP="00774C83">
      <w:pPr>
        <w:ind w:left="810"/>
      </w:pPr>
    </w:p>
    <w:p w14:paraId="20CE1711" w14:textId="3AACF106" w:rsidR="00EB73F3" w:rsidRPr="00EB73F3" w:rsidRDefault="00EB73F3" w:rsidP="00EB73F3">
      <w:r w:rsidRPr="00EB73F3">
        <w:t>For this instance, the heat recovery- roof top unit increased the water main temp by 23 °F, the savings are as follows:</w:t>
      </w:r>
    </w:p>
    <w:p w14:paraId="1ECE52EF" w14:textId="77777777" w:rsidR="00DC3C47" w:rsidRPr="00774C83" w:rsidRDefault="00177C99" w:rsidP="00774C83">
      <w:pPr>
        <w:ind w:left="720"/>
        <w:rPr>
          <w:bCs/>
          <w:sz w:val="20"/>
          <w:szCs w:val="22"/>
        </w:rPr>
      </w:pPr>
      <m:oMathPara>
        <m:oMathParaPr>
          <m:jc m:val="left"/>
        </m:oMathParaPr>
        <m:oMath>
          <m:sSub>
            <m:sSubPr>
              <m:ctrlPr>
                <w:rPr>
                  <w:rFonts w:ascii="Cambria Math" w:hAnsi="Cambria Math"/>
                  <w:bCs/>
                  <w:i/>
                  <w:sz w:val="20"/>
                  <w:szCs w:val="22"/>
                </w:rPr>
              </m:ctrlPr>
            </m:sSubPr>
            <m:e>
              <m:r>
                <w:rPr>
                  <w:rFonts w:ascii="Cambria Math" w:hAnsi="Cambria Math"/>
                  <w:sz w:val="20"/>
                  <w:szCs w:val="22"/>
                </w:rPr>
                <m:t>Q</m:t>
              </m:r>
            </m:e>
            <m:sub>
              <m:r>
                <w:rPr>
                  <w:rFonts w:ascii="Cambria Math" w:hAnsi="Cambria Math"/>
                  <w:sz w:val="20"/>
                  <w:szCs w:val="22"/>
                </w:rPr>
                <m:t>therm: No HR-RTU</m:t>
              </m:r>
            </m:sub>
          </m:sSub>
          <m:r>
            <w:rPr>
              <w:rFonts w:ascii="Cambria Math" w:hAnsi="Cambria Math"/>
              <w:sz w:val="20"/>
              <w:szCs w:val="22"/>
            </w:rPr>
            <m:t>-</m:t>
          </m:r>
          <m:sSub>
            <m:sSubPr>
              <m:ctrlPr>
                <w:rPr>
                  <w:rFonts w:ascii="Cambria Math" w:hAnsi="Cambria Math"/>
                  <w:bCs/>
                  <w:i/>
                  <w:sz w:val="20"/>
                  <w:szCs w:val="22"/>
                </w:rPr>
              </m:ctrlPr>
            </m:sSubPr>
            <m:e>
              <m:r>
                <w:rPr>
                  <w:rFonts w:ascii="Cambria Math" w:hAnsi="Cambria Math"/>
                  <w:sz w:val="20"/>
                  <w:szCs w:val="22"/>
                </w:rPr>
                <m:t>Q</m:t>
              </m:r>
            </m:e>
            <m:sub>
              <m:r>
                <w:rPr>
                  <w:rFonts w:ascii="Cambria Math" w:hAnsi="Cambria Math"/>
                  <w:sz w:val="20"/>
                  <w:szCs w:val="22"/>
                </w:rPr>
                <m:t>therm: HR-RTU</m:t>
              </m:r>
            </m:sub>
          </m:sSub>
          <m:r>
            <w:rPr>
              <w:rFonts w:ascii="Cambria Math" w:hAnsi="Cambria Math"/>
              <w:sz w:val="20"/>
              <w:szCs w:val="22"/>
            </w:rPr>
            <m:t>=</m:t>
          </m:r>
          <m:d>
            <m:dPr>
              <m:begChr m:val="["/>
              <m:endChr m:val="]"/>
              <m:ctrlPr>
                <w:rPr>
                  <w:rFonts w:ascii="Cambria Math" w:hAnsi="Cambria Math"/>
                  <w:bCs/>
                  <w:i/>
                  <w:sz w:val="20"/>
                  <w:szCs w:val="22"/>
                </w:rPr>
              </m:ctrlPr>
            </m:dPr>
            <m:e>
              <m:f>
                <m:fPr>
                  <m:ctrlPr>
                    <w:rPr>
                      <w:rFonts w:ascii="Cambria Math" w:hAnsi="Cambria Math"/>
                      <w:bCs/>
                      <w:i/>
                      <w:sz w:val="20"/>
                      <w:szCs w:val="22"/>
                    </w:rPr>
                  </m:ctrlPr>
                </m:fPr>
                <m:num>
                  <m:r>
                    <w:rPr>
                      <w:rFonts w:ascii="Cambria Math" w:hAnsi="Cambria Math"/>
                      <w:sz w:val="20"/>
                      <w:szCs w:val="22"/>
                    </w:rPr>
                    <m:t>m*</m:t>
                  </m:r>
                  <m:sSub>
                    <m:sSubPr>
                      <m:ctrlPr>
                        <w:rPr>
                          <w:rFonts w:ascii="Cambria Math" w:hAnsi="Cambria Math"/>
                          <w:bCs/>
                          <w:i/>
                          <w:sz w:val="20"/>
                          <w:szCs w:val="22"/>
                        </w:rPr>
                      </m:ctrlPr>
                    </m:sSubPr>
                    <m:e>
                      <m:r>
                        <w:rPr>
                          <w:rFonts w:ascii="Cambria Math" w:hAnsi="Cambria Math"/>
                          <w:sz w:val="20"/>
                          <w:szCs w:val="22"/>
                        </w:rPr>
                        <m:t>C</m:t>
                      </m:r>
                    </m:e>
                    <m:sub>
                      <m:r>
                        <w:rPr>
                          <w:rFonts w:ascii="Cambria Math" w:hAnsi="Cambria Math"/>
                          <w:sz w:val="20"/>
                          <w:szCs w:val="22"/>
                        </w:rPr>
                        <m:t>p</m:t>
                      </m:r>
                    </m:sub>
                  </m:sSub>
                  <m:r>
                    <w:rPr>
                      <w:rFonts w:ascii="Cambria Math" w:hAnsi="Cambria Math"/>
                      <w:sz w:val="20"/>
                      <w:szCs w:val="22"/>
                    </w:rPr>
                    <m:t>*ΔT</m:t>
                  </m:r>
                </m:num>
                <m:den>
                  <m:r>
                    <w:rPr>
                      <w:rFonts w:ascii="Cambria Math" w:hAnsi="Cambria Math"/>
                      <w:sz w:val="20"/>
                      <w:szCs w:val="22"/>
                    </w:rPr>
                    <m:t>η*100,000</m:t>
                  </m:r>
                </m:den>
              </m:f>
            </m:e>
          </m:d>
        </m:oMath>
      </m:oMathPara>
    </w:p>
    <w:p w14:paraId="2ED5CF83" w14:textId="27995977" w:rsidR="00DC3C47" w:rsidRPr="00774C83" w:rsidRDefault="00DC3C47" w:rsidP="00065642">
      <w:pPr>
        <w:ind w:left="1440"/>
        <w:rPr>
          <w:bCs/>
          <w:sz w:val="20"/>
          <w:szCs w:val="22"/>
        </w:rPr>
      </w:pPr>
      <m:oMathPara>
        <m:oMathParaPr>
          <m:jc m:val="left"/>
        </m:oMathParaPr>
        <m:oMath>
          <m:r>
            <w:rPr>
              <w:rFonts w:ascii="Cambria Math" w:hAnsi="Cambria Math"/>
              <w:sz w:val="20"/>
              <w:szCs w:val="22"/>
            </w:rPr>
            <m:t xml:space="preserve">= </m:t>
          </m:r>
          <m:d>
            <m:dPr>
              <m:begChr m:val="["/>
              <m:endChr m:val="]"/>
              <m:ctrlPr>
                <w:rPr>
                  <w:rFonts w:ascii="Cambria Math" w:hAnsi="Cambria Math"/>
                  <w:bCs/>
                  <w:i/>
                  <w:sz w:val="20"/>
                  <w:szCs w:val="22"/>
                </w:rPr>
              </m:ctrlPr>
            </m:dPr>
            <m:e>
              <m:f>
                <m:fPr>
                  <m:ctrlPr>
                    <w:rPr>
                      <w:rFonts w:ascii="Cambria Math" w:hAnsi="Cambria Math"/>
                      <w:bCs/>
                      <w:i/>
                      <w:sz w:val="20"/>
                      <w:szCs w:val="22"/>
                    </w:rPr>
                  </m:ctrlPr>
                </m:fPr>
                <m:num>
                  <m:r>
                    <w:rPr>
                      <w:rFonts w:ascii="Cambria Math" w:hAnsi="Cambria Math"/>
                      <w:sz w:val="20"/>
                      <w:szCs w:val="22"/>
                    </w:rPr>
                    <m:t xml:space="preserve">33.32 </m:t>
                  </m:r>
                  <m:sSub>
                    <m:sSubPr>
                      <m:ctrlPr>
                        <w:rPr>
                          <w:rFonts w:ascii="Cambria Math" w:hAnsi="Cambria Math"/>
                          <w:bCs/>
                          <w:i/>
                          <w:sz w:val="20"/>
                          <w:szCs w:val="22"/>
                        </w:rPr>
                      </m:ctrlPr>
                    </m:sSubPr>
                    <m:e>
                      <m:r>
                        <w:rPr>
                          <w:rFonts w:ascii="Cambria Math" w:hAnsi="Cambria Math"/>
                          <w:sz w:val="20"/>
                          <w:szCs w:val="22"/>
                        </w:rPr>
                        <m:t>lb</m:t>
                      </m:r>
                    </m:e>
                    <m:sub>
                      <m:r>
                        <w:rPr>
                          <w:rFonts w:ascii="Cambria Math" w:hAnsi="Cambria Math"/>
                          <w:sz w:val="20"/>
                          <w:szCs w:val="22"/>
                        </w:rPr>
                        <m:t>m</m:t>
                      </m:r>
                    </m:sub>
                  </m:sSub>
                  <m:r>
                    <w:rPr>
                      <w:rFonts w:ascii="Cambria Math" w:hAnsi="Cambria Math"/>
                      <w:sz w:val="20"/>
                      <w:szCs w:val="22"/>
                    </w:rPr>
                    <m:t>*1</m:t>
                  </m:r>
                  <m:f>
                    <m:fPr>
                      <m:ctrlPr>
                        <w:rPr>
                          <w:rFonts w:ascii="Cambria Math" w:hAnsi="Cambria Math"/>
                          <w:bCs/>
                          <w:i/>
                          <w:sz w:val="20"/>
                          <w:szCs w:val="22"/>
                        </w:rPr>
                      </m:ctrlPr>
                    </m:fPr>
                    <m:num>
                      <m:r>
                        <w:rPr>
                          <w:rFonts w:ascii="Cambria Math" w:hAnsi="Cambria Math"/>
                          <w:sz w:val="20"/>
                          <w:szCs w:val="22"/>
                        </w:rPr>
                        <m:t>BTU</m:t>
                      </m:r>
                    </m:num>
                    <m:den>
                      <m:sSub>
                        <m:sSubPr>
                          <m:ctrlPr>
                            <w:rPr>
                              <w:rFonts w:ascii="Cambria Math" w:hAnsi="Cambria Math"/>
                              <w:bCs/>
                              <w:i/>
                              <w:sz w:val="20"/>
                              <w:szCs w:val="22"/>
                            </w:rPr>
                          </m:ctrlPr>
                        </m:sSubPr>
                        <m:e>
                          <m:r>
                            <w:rPr>
                              <w:rFonts w:ascii="Cambria Math" w:hAnsi="Cambria Math"/>
                              <w:sz w:val="20"/>
                              <w:szCs w:val="22"/>
                            </w:rPr>
                            <m:t>lb</m:t>
                          </m:r>
                        </m:e>
                        <m:sub>
                          <m:r>
                            <w:rPr>
                              <w:rFonts w:ascii="Cambria Math" w:hAnsi="Cambria Math"/>
                              <w:sz w:val="20"/>
                              <w:szCs w:val="22"/>
                            </w:rPr>
                            <m:t>m</m:t>
                          </m:r>
                        </m:sub>
                      </m:sSub>
                      <m:r>
                        <w:rPr>
                          <w:rFonts w:ascii="Cambria Math" w:hAnsi="Cambria Math"/>
                          <w:sz w:val="20"/>
                          <w:szCs w:val="22"/>
                        </w:rPr>
                        <m:t>*°F</m:t>
                      </m:r>
                    </m:den>
                  </m:f>
                  <m:r>
                    <w:rPr>
                      <w:rFonts w:ascii="Cambria Math" w:hAnsi="Cambria Math"/>
                      <w:sz w:val="20"/>
                      <w:szCs w:val="22"/>
                    </w:rPr>
                    <m:t>*  77 °F</m:t>
                  </m:r>
                </m:num>
                <m:den>
                  <m:r>
                    <w:rPr>
                      <w:rFonts w:ascii="Cambria Math" w:hAnsi="Cambria Math"/>
                      <w:sz w:val="20"/>
                      <w:szCs w:val="22"/>
                    </w:rPr>
                    <m:t>0.80*100,000</m:t>
                  </m:r>
                </m:den>
              </m:f>
            </m:e>
          </m:d>
          <m:r>
            <w:rPr>
              <w:rFonts w:ascii="Cambria Math" w:hAnsi="Cambria Math"/>
              <w:sz w:val="20"/>
              <w:szCs w:val="22"/>
            </w:rPr>
            <m:t>-</m:t>
          </m:r>
          <m:d>
            <m:dPr>
              <m:begChr m:val="["/>
              <m:endChr m:val="]"/>
              <m:ctrlPr>
                <w:rPr>
                  <w:rFonts w:ascii="Cambria Math" w:hAnsi="Cambria Math"/>
                  <w:bCs/>
                  <w:i/>
                  <w:sz w:val="20"/>
                  <w:szCs w:val="22"/>
                </w:rPr>
              </m:ctrlPr>
            </m:dPr>
            <m:e>
              <m:f>
                <m:fPr>
                  <m:ctrlPr>
                    <w:rPr>
                      <w:rFonts w:ascii="Cambria Math" w:hAnsi="Cambria Math"/>
                      <w:bCs/>
                      <w:i/>
                      <w:sz w:val="20"/>
                      <w:szCs w:val="22"/>
                    </w:rPr>
                  </m:ctrlPr>
                </m:fPr>
                <m:num>
                  <m:r>
                    <w:rPr>
                      <w:rFonts w:ascii="Cambria Math" w:hAnsi="Cambria Math"/>
                      <w:sz w:val="20"/>
                      <w:szCs w:val="22"/>
                    </w:rPr>
                    <m:t xml:space="preserve">33.32 </m:t>
                  </m:r>
                  <m:sSub>
                    <m:sSubPr>
                      <m:ctrlPr>
                        <w:rPr>
                          <w:rFonts w:ascii="Cambria Math" w:hAnsi="Cambria Math"/>
                          <w:bCs/>
                          <w:i/>
                          <w:sz w:val="20"/>
                          <w:szCs w:val="22"/>
                        </w:rPr>
                      </m:ctrlPr>
                    </m:sSubPr>
                    <m:e>
                      <m:r>
                        <w:rPr>
                          <w:rFonts w:ascii="Cambria Math" w:hAnsi="Cambria Math"/>
                          <w:sz w:val="20"/>
                          <w:szCs w:val="22"/>
                        </w:rPr>
                        <m:t>lb</m:t>
                      </m:r>
                    </m:e>
                    <m:sub>
                      <m:r>
                        <w:rPr>
                          <w:rFonts w:ascii="Cambria Math" w:hAnsi="Cambria Math"/>
                          <w:sz w:val="20"/>
                          <w:szCs w:val="22"/>
                        </w:rPr>
                        <m:t>m</m:t>
                      </m:r>
                    </m:sub>
                  </m:sSub>
                  <m:r>
                    <w:rPr>
                      <w:rFonts w:ascii="Cambria Math" w:hAnsi="Cambria Math"/>
                      <w:sz w:val="20"/>
                      <w:szCs w:val="22"/>
                    </w:rPr>
                    <m:t>*1</m:t>
                  </m:r>
                  <m:f>
                    <m:fPr>
                      <m:ctrlPr>
                        <w:rPr>
                          <w:rFonts w:ascii="Cambria Math" w:hAnsi="Cambria Math"/>
                          <w:bCs/>
                          <w:i/>
                          <w:sz w:val="20"/>
                          <w:szCs w:val="22"/>
                        </w:rPr>
                      </m:ctrlPr>
                    </m:fPr>
                    <m:num>
                      <m:r>
                        <w:rPr>
                          <w:rFonts w:ascii="Cambria Math" w:hAnsi="Cambria Math"/>
                          <w:sz w:val="20"/>
                          <w:szCs w:val="22"/>
                        </w:rPr>
                        <m:t>BTU</m:t>
                      </m:r>
                    </m:num>
                    <m:den>
                      <m:sSub>
                        <m:sSubPr>
                          <m:ctrlPr>
                            <w:rPr>
                              <w:rFonts w:ascii="Cambria Math" w:hAnsi="Cambria Math"/>
                              <w:bCs/>
                              <w:i/>
                              <w:sz w:val="20"/>
                              <w:szCs w:val="22"/>
                            </w:rPr>
                          </m:ctrlPr>
                        </m:sSubPr>
                        <m:e>
                          <m:r>
                            <w:rPr>
                              <w:rFonts w:ascii="Cambria Math" w:hAnsi="Cambria Math"/>
                              <w:sz w:val="20"/>
                              <w:szCs w:val="22"/>
                            </w:rPr>
                            <m:t>lb</m:t>
                          </m:r>
                        </m:e>
                        <m:sub>
                          <m:r>
                            <w:rPr>
                              <w:rFonts w:ascii="Cambria Math" w:hAnsi="Cambria Math"/>
                              <w:sz w:val="20"/>
                              <w:szCs w:val="22"/>
                            </w:rPr>
                            <m:t>m</m:t>
                          </m:r>
                        </m:sub>
                      </m:sSub>
                      <m:r>
                        <w:rPr>
                          <w:rFonts w:ascii="Cambria Math" w:hAnsi="Cambria Math"/>
                          <w:sz w:val="20"/>
                          <w:szCs w:val="22"/>
                        </w:rPr>
                        <m:t>*°F</m:t>
                      </m:r>
                    </m:den>
                  </m:f>
                  <m:r>
                    <w:rPr>
                      <w:rFonts w:ascii="Cambria Math" w:hAnsi="Cambria Math"/>
                      <w:sz w:val="20"/>
                      <w:szCs w:val="22"/>
                    </w:rPr>
                    <m:t>*  54 °F</m:t>
                  </m:r>
                </m:num>
                <m:den>
                  <m:r>
                    <w:rPr>
                      <w:rFonts w:ascii="Cambria Math" w:hAnsi="Cambria Math"/>
                      <w:sz w:val="20"/>
                      <w:szCs w:val="22"/>
                    </w:rPr>
                    <m:t>0.80*100,000</m:t>
                  </m:r>
                </m:den>
              </m:f>
            </m:e>
          </m:d>
        </m:oMath>
      </m:oMathPara>
    </w:p>
    <w:p w14:paraId="290605BA" w14:textId="77777777" w:rsidR="00DC3C47" w:rsidRPr="00774C83" w:rsidRDefault="00DC3C47" w:rsidP="00065642">
      <w:pPr>
        <w:ind w:left="1440"/>
        <w:rPr>
          <w:bCs/>
          <w:sz w:val="20"/>
          <w:szCs w:val="22"/>
        </w:rPr>
      </w:pPr>
      <m:oMathPara>
        <m:oMathParaPr>
          <m:jc m:val="left"/>
        </m:oMathParaPr>
        <m:oMath>
          <m:r>
            <w:rPr>
              <w:rFonts w:ascii="Cambria Math" w:hAnsi="Cambria Math"/>
              <w:sz w:val="20"/>
              <w:szCs w:val="22"/>
            </w:rPr>
            <m:t>= 0.032-0.022</m:t>
          </m:r>
        </m:oMath>
      </m:oMathPara>
    </w:p>
    <w:p w14:paraId="1D57B448" w14:textId="12859085" w:rsidR="00EB73F3" w:rsidRPr="00774C83" w:rsidRDefault="00DC3C47" w:rsidP="00065642">
      <w:pPr>
        <w:ind w:left="1440"/>
        <w:rPr>
          <w:bCs/>
          <w:sz w:val="20"/>
          <w:szCs w:val="22"/>
        </w:rPr>
      </w:pPr>
      <m:oMathPara>
        <m:oMathParaPr>
          <m:jc m:val="left"/>
        </m:oMathParaPr>
        <m:oMath>
          <m:r>
            <w:rPr>
              <w:rFonts w:ascii="Cambria Math" w:hAnsi="Cambria Math"/>
              <w:sz w:val="20"/>
              <w:szCs w:val="22"/>
            </w:rPr>
            <m:t xml:space="preserve">=0.010 therm. </m:t>
          </m:r>
        </m:oMath>
      </m:oMathPara>
    </w:p>
    <w:p w14:paraId="48ABDE1C" w14:textId="77777777" w:rsidR="00EB73F3" w:rsidRPr="00EB73F3" w:rsidRDefault="00EB73F3" w:rsidP="00EB73F3"/>
    <w:p w14:paraId="0474BB9B" w14:textId="606C8F43" w:rsidR="00EB73F3" w:rsidRPr="00EB73F3" w:rsidRDefault="00EB73F3" w:rsidP="00EB73F3">
      <w:r w:rsidRPr="00EB73F3">
        <w:lastRenderedPageBreak/>
        <w:t xml:space="preserve">All the recordings for March 22, 2014 </w:t>
      </w:r>
      <w:r w:rsidR="008A2FE6" w:rsidRPr="00EB73F3">
        <w:t xml:space="preserve">as shown in the example </w:t>
      </w:r>
      <w:r w:rsidRPr="00EB73F3">
        <w:t>were calculated and aggregated to yield a daily</w:t>
      </w:r>
      <w:r w:rsidR="000636E4">
        <w:t xml:space="preserve"> </w:t>
      </w:r>
      <w:r w:rsidR="008A2FE6">
        <w:t>UES</w:t>
      </w:r>
      <w:r w:rsidRPr="00EB73F3">
        <w:t xml:space="preserve"> value. During this day</w:t>
      </w:r>
      <w:r w:rsidR="008A2FE6">
        <w:t xml:space="preserve"> a total of</w:t>
      </w:r>
      <w:r w:rsidRPr="00EB73F3">
        <w:t xml:space="preserve"> 4.2 therms were used, 1.80 </w:t>
      </w:r>
      <w:r w:rsidR="008A2FE6">
        <w:t xml:space="preserve">of which </w:t>
      </w:r>
      <w:r w:rsidRPr="00EB73F3">
        <w:t xml:space="preserve">were accounted to the HR-RTU as savings from </w:t>
      </w:r>
      <w:r w:rsidR="0002482C" w:rsidRPr="00EB73F3">
        <w:t>preheating</w:t>
      </w:r>
      <w:r w:rsidRPr="00EB73F3">
        <w:t xml:space="preserve"> water by taking advantage of the AC cooling load. </w:t>
      </w:r>
    </w:p>
    <w:p w14:paraId="41D2D542" w14:textId="56B1EC57" w:rsidR="005C7B6B" w:rsidRDefault="008A2FE6" w:rsidP="005C7B6B">
      <w:r>
        <w:t xml:space="preserve">A total gas UES of </w:t>
      </w:r>
      <w:r w:rsidRPr="00EB73F3">
        <w:t xml:space="preserve">237 therms </w:t>
      </w:r>
      <w:r>
        <w:t>was estimated over the</w:t>
      </w:r>
      <w:r w:rsidRPr="00EB73F3">
        <w:t xml:space="preserve"> entire test period of 114 days</w:t>
      </w:r>
      <w:r>
        <w:t xml:space="preserve">. </w:t>
      </w:r>
      <w:r w:rsidR="00EB73F3" w:rsidRPr="00EB73F3">
        <w:t>The amount of energy used would have been 437 therm</w:t>
      </w:r>
      <w:r>
        <w:t>s,</w:t>
      </w:r>
      <w:r w:rsidR="00EB73F3" w:rsidRPr="00EB73F3">
        <w:t xml:space="preserve"> 200 </w:t>
      </w:r>
      <w:r>
        <w:t>of which</w:t>
      </w:r>
      <w:r w:rsidRPr="00EB73F3">
        <w:t xml:space="preserve"> </w:t>
      </w:r>
      <w:r w:rsidR="00EB73F3" w:rsidRPr="00EB73F3">
        <w:t>were accounted to the water heater. For this test period, the energy consumption was reduced by 54%.</w:t>
      </w:r>
    </w:p>
    <w:p w14:paraId="40227A65" w14:textId="77777777" w:rsidR="00EB73F3" w:rsidRDefault="00EB73F3" w:rsidP="005C7B6B"/>
    <w:p w14:paraId="4DDCD51F" w14:textId="4F2BBAD7" w:rsidR="007D230B" w:rsidRPr="004B06E3" w:rsidRDefault="00245AFF" w:rsidP="006B4A4F">
      <w:pPr>
        <w:pStyle w:val="eTRMHeading3"/>
      </w:pPr>
      <w:bookmarkStart w:id="45" w:name="_Toc24552025"/>
      <w:bookmarkStart w:id="46" w:name="_Toc486490859"/>
      <w:bookmarkStart w:id="47" w:name="_Toc486580930"/>
      <w:r w:rsidRPr="004B06E3">
        <w:t>Life Cycle</w:t>
      </w:r>
      <w:bookmarkEnd w:id="45"/>
      <w:r w:rsidR="007D230B" w:rsidRPr="004B06E3">
        <w:t xml:space="preserve"> </w:t>
      </w:r>
      <w:bookmarkEnd w:id="46"/>
      <w:bookmarkEnd w:id="47"/>
    </w:p>
    <w:p w14:paraId="6459579D" w14:textId="10990DA4"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44CA8A1F" w14:textId="77777777" w:rsidR="00065642" w:rsidRDefault="00BC5A43" w:rsidP="00BC5A43">
      <w:r w:rsidRPr="00961018">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9"/>
      </w:r>
      <w:r w:rsidRPr="00961018">
        <w:t xml:space="preserve"> This approach provides a reasonable RUL estimate without the requiring any a priori knowledge about the age of the equipment being replaced.</w:t>
      </w:r>
      <w:r w:rsidRPr="00961018">
        <w:rPr>
          <w:vertAlign w:val="superscript"/>
        </w:rPr>
        <w:footnoteReference w:id="10"/>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11"/>
      </w:r>
      <w:r w:rsidR="00BD2C9F">
        <w:t xml:space="preserve"> </w:t>
      </w:r>
    </w:p>
    <w:p w14:paraId="5C6D4C8D" w14:textId="7FE88C4A" w:rsidR="00BC5A43" w:rsidRDefault="007F669E" w:rsidP="00BC5A43">
      <w:r>
        <w:t xml:space="preserve">The EUL and RUL </w:t>
      </w:r>
      <w:r w:rsidR="00B330B4">
        <w:t xml:space="preserve">for </w:t>
      </w:r>
      <w:r w:rsidR="0033389C">
        <w:t>a r</w:t>
      </w:r>
      <w:r w:rsidR="00B330B4" w:rsidRPr="009E7B5D">
        <w:t xml:space="preserve">ooftop </w:t>
      </w:r>
      <w:r w:rsidR="0033389C">
        <w:t>air conditioning u</w:t>
      </w:r>
      <w:r w:rsidR="00B330B4" w:rsidRPr="009E7B5D">
        <w:t>nit</w:t>
      </w:r>
      <w:r w:rsidR="0033389C">
        <w:t xml:space="preserve"> with heat recovery</w:t>
      </w:r>
      <w:r w:rsidR="00B330B4">
        <w:t xml:space="preserve"> are specified below</w:t>
      </w:r>
      <w:r w:rsidR="0033389C">
        <w:t>. The estimated lifetime can be traced back to values adopted for the California PY 2001 energy efficiency programs.</w:t>
      </w:r>
    </w:p>
    <w:p w14:paraId="7D542FEF" w14:textId="55C7ECFE" w:rsidR="00FD2C54" w:rsidRPr="00920905" w:rsidRDefault="00FD2C54" w:rsidP="00931868">
      <w:pPr>
        <w:pStyle w:val="Caption"/>
      </w:pPr>
      <w:r>
        <w:lastRenderedPageBreak/>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5"/>
        <w:gridCol w:w="1170"/>
        <w:gridCol w:w="6750"/>
      </w:tblGrid>
      <w:tr w:rsidR="00485834" w:rsidRPr="00500C4E" w14:paraId="1FE81044" w14:textId="0C091959" w:rsidTr="0026110B">
        <w:trPr>
          <w:cantSplit/>
          <w:trHeight w:val="20"/>
        </w:trPr>
        <w:tc>
          <w:tcPr>
            <w:tcW w:w="161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117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675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Pr>
                <w:rFonts w:cstheme="minorHAnsi"/>
                <w:b/>
                <w:sz w:val="20"/>
                <w:szCs w:val="20"/>
              </w:rPr>
              <w:t>Source</w:t>
            </w:r>
          </w:p>
        </w:tc>
      </w:tr>
      <w:tr w:rsidR="0033389C" w:rsidRPr="00500C4E" w14:paraId="7B636A73" w14:textId="217149CE" w:rsidTr="0033389C">
        <w:trPr>
          <w:cantSplit/>
          <w:trHeight w:val="20"/>
        </w:trPr>
        <w:tc>
          <w:tcPr>
            <w:tcW w:w="1615" w:type="dxa"/>
            <w:vAlign w:val="center"/>
          </w:tcPr>
          <w:p w14:paraId="64E6D65F" w14:textId="0811A1C1" w:rsidR="0033389C" w:rsidRPr="00177EB6" w:rsidRDefault="0033389C" w:rsidP="0033389C">
            <w:pPr>
              <w:keepNext/>
              <w:keepLines/>
              <w:spacing w:before="20" w:after="20"/>
              <w:rPr>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r>
              <w:rPr>
                <w:rFonts w:cstheme="minorHAnsi"/>
                <w:sz w:val="20"/>
                <w:szCs w:val="20"/>
              </w:rPr>
              <w:t xml:space="preserve"> </w:t>
            </w:r>
          </w:p>
        </w:tc>
        <w:tc>
          <w:tcPr>
            <w:tcW w:w="1170" w:type="dxa"/>
            <w:vAlign w:val="center"/>
          </w:tcPr>
          <w:p w14:paraId="636160CC" w14:textId="31A6872C" w:rsidR="0033389C" w:rsidRPr="0026110B" w:rsidRDefault="0033389C" w:rsidP="0033389C">
            <w:pPr>
              <w:keepNext/>
              <w:keepLines/>
              <w:spacing w:before="20" w:after="20"/>
              <w:rPr>
                <w:sz w:val="20"/>
                <w:szCs w:val="20"/>
              </w:rPr>
            </w:pPr>
            <w:r>
              <w:rPr>
                <w:sz w:val="20"/>
                <w:szCs w:val="20"/>
              </w:rPr>
              <w:t>15</w:t>
            </w:r>
          </w:p>
        </w:tc>
        <w:tc>
          <w:tcPr>
            <w:tcW w:w="6750" w:type="dxa"/>
          </w:tcPr>
          <w:p w14:paraId="4C48FB6B" w14:textId="77777777" w:rsidR="0033389C" w:rsidRPr="0033389C" w:rsidRDefault="0033389C" w:rsidP="0033389C">
            <w:pPr>
              <w:pStyle w:val="CommentText"/>
              <w:rPr>
                <w:sz w:val="18"/>
                <w:szCs w:val="18"/>
              </w:rPr>
            </w:pPr>
            <w:r w:rsidRPr="0033389C">
              <w:rPr>
                <w:sz w:val="18"/>
                <w:szCs w:val="18"/>
              </w:rPr>
              <w:t xml:space="preserve">Pacific Gas and Electric Company (PG&amp;E), San Diego Gas &amp; Electric (SDG&amp;E), Southern California Edison (SCE), Southern California Gas Company (SCG), California Energy Commission (CEC), Office of Ratepayer Advocates (CPUC ORA), and Natural Resources Defense Council (NRDC). 1998. </w:t>
            </w:r>
            <w:r w:rsidRPr="0033389C">
              <w:rPr>
                <w:rStyle w:val="Emphasis"/>
                <w:sz w:val="18"/>
                <w:szCs w:val="18"/>
              </w:rPr>
              <w:t>Protocols and Procedures for the Verification of Costs, Benefits, and Shareholder Earnings from Demand-Side Management Programs.</w:t>
            </w:r>
            <w:r w:rsidRPr="0033389C">
              <w:rPr>
                <w:sz w:val="18"/>
                <w:szCs w:val="18"/>
              </w:rPr>
              <w:t xml:space="preserve"> Revised March 1998 and March 1999.  Page 15.</w:t>
            </w:r>
          </w:p>
          <w:p w14:paraId="26E20F64" w14:textId="77777777" w:rsidR="0033389C" w:rsidRDefault="0033389C" w:rsidP="0033389C">
            <w:pPr>
              <w:pStyle w:val="CommentText"/>
              <w:rPr>
                <w:sz w:val="18"/>
                <w:szCs w:val="18"/>
              </w:rPr>
            </w:pPr>
            <w:r w:rsidRPr="0033389C">
              <w:rPr>
                <w:sz w:val="18"/>
                <w:szCs w:val="18"/>
              </w:rPr>
              <w:t>Pacific Gas and Electric Company (PG&amp;E), San Diego Gas &amp; Electric (SDG&amp;E), Southern California Edison (SCE), Southern California Gas Company (SCG). 2000. “Proposed Effective Useful Life for Measures for PY2001 Program Elements. Report Issued Prior to Public Meeting. Response to Ordering Paragraph #8, Discussion Paper 2.” September 5.</w:t>
            </w:r>
          </w:p>
          <w:p w14:paraId="12293357" w14:textId="497528CC" w:rsidR="0033389C" w:rsidRPr="0033389C" w:rsidRDefault="0033389C" w:rsidP="0033389C">
            <w:pPr>
              <w:pStyle w:val="CommentText"/>
              <w:rPr>
                <w:rFonts w:cs="Calibri Light"/>
                <w:sz w:val="18"/>
                <w:szCs w:val="18"/>
                <w:highlight w:val="lightGray"/>
              </w:rPr>
            </w:pPr>
            <w:r w:rsidRPr="0033389C">
              <w:rPr>
                <w:rFonts w:cs="Calibri Light"/>
                <w:color w:val="292929"/>
                <w:sz w:val="17"/>
                <w:szCs w:val="18"/>
                <w:shd w:val="clear" w:color="auto" w:fill="FFFFFF"/>
              </w:rPr>
              <w:t>California Public Utilities Commission (CPUC), Energy Division. 2008. “EUL_Summary_10-1-08.xls.”</w:t>
            </w:r>
          </w:p>
        </w:tc>
      </w:tr>
      <w:tr w:rsidR="0033389C" w:rsidRPr="00500C4E" w14:paraId="71871DE1" w14:textId="51A3395E" w:rsidTr="0033389C">
        <w:trPr>
          <w:cantSplit/>
          <w:trHeight w:val="20"/>
        </w:trPr>
        <w:tc>
          <w:tcPr>
            <w:tcW w:w="1615" w:type="dxa"/>
            <w:vAlign w:val="center"/>
          </w:tcPr>
          <w:p w14:paraId="4BA48D82" w14:textId="5EFD77B9" w:rsidR="0033389C" w:rsidRPr="00177EB6" w:rsidRDefault="0033389C" w:rsidP="0033389C">
            <w:pPr>
              <w:keepNext/>
              <w:keepLines/>
              <w:spacing w:before="20" w:after="20"/>
              <w:rPr>
                <w:sz w:val="20"/>
                <w:szCs w:val="20"/>
              </w:rPr>
            </w:pPr>
            <w:r w:rsidRPr="00177EB6">
              <w:rPr>
                <w:rFonts w:cstheme="minorHAnsi"/>
                <w:sz w:val="20"/>
                <w:szCs w:val="20"/>
              </w:rPr>
              <w:t>RUL (</w:t>
            </w:r>
            <w:r>
              <w:rPr>
                <w:rFonts w:cstheme="minorHAnsi"/>
                <w:sz w:val="20"/>
                <w:szCs w:val="20"/>
              </w:rPr>
              <w:t>yrs</w:t>
            </w:r>
            <w:r w:rsidRPr="00177EB6">
              <w:rPr>
                <w:rFonts w:cstheme="minorHAnsi"/>
                <w:sz w:val="20"/>
                <w:szCs w:val="20"/>
              </w:rPr>
              <w:t>)</w:t>
            </w:r>
          </w:p>
        </w:tc>
        <w:tc>
          <w:tcPr>
            <w:tcW w:w="1170" w:type="dxa"/>
            <w:vAlign w:val="center"/>
          </w:tcPr>
          <w:p w14:paraId="012CC38D" w14:textId="5C9C7BFF" w:rsidR="0033389C" w:rsidRPr="0026110B" w:rsidRDefault="0033389C" w:rsidP="0033389C">
            <w:pPr>
              <w:keepNext/>
              <w:keepLines/>
              <w:spacing w:before="20" w:after="20"/>
              <w:rPr>
                <w:sz w:val="20"/>
                <w:szCs w:val="20"/>
              </w:rPr>
            </w:pPr>
            <w:r>
              <w:rPr>
                <w:sz w:val="20"/>
                <w:szCs w:val="20"/>
              </w:rPr>
              <w:t>5</w:t>
            </w:r>
          </w:p>
        </w:tc>
        <w:tc>
          <w:tcPr>
            <w:tcW w:w="6750" w:type="dxa"/>
          </w:tcPr>
          <w:p w14:paraId="7DDC9DCA" w14:textId="0006CAE6" w:rsidR="0033389C" w:rsidRPr="00F8464D" w:rsidRDefault="0033389C" w:rsidP="0033389C">
            <w:pPr>
              <w:keepNext/>
              <w:keepLines/>
              <w:spacing w:before="20" w:after="20"/>
              <w:rPr>
                <w:sz w:val="20"/>
                <w:szCs w:val="20"/>
              </w:rPr>
            </w:pPr>
          </w:p>
        </w:tc>
      </w:tr>
    </w:tbl>
    <w:p w14:paraId="2D3E8E88" w14:textId="77777777" w:rsidR="00886FE6" w:rsidRDefault="00886FE6" w:rsidP="001452A9">
      <w:bookmarkStart w:id="48" w:name="_Toc486490860"/>
      <w:bookmarkStart w:id="49" w:name="_Toc486580931"/>
    </w:p>
    <w:p w14:paraId="3B14B593" w14:textId="77630833" w:rsidR="007D230B" w:rsidRPr="004B06E3" w:rsidRDefault="007D230B" w:rsidP="006B4A4F">
      <w:pPr>
        <w:pStyle w:val="eTRMHeading3"/>
      </w:pPr>
      <w:bookmarkStart w:id="50" w:name="_Toc24552026"/>
      <w:r w:rsidRPr="004B06E3">
        <w:t>Base Case Material Cost ($/unit)</w:t>
      </w:r>
      <w:bookmarkEnd w:id="48"/>
      <w:bookmarkEnd w:id="49"/>
      <w:bookmarkEnd w:id="50"/>
    </w:p>
    <w:p w14:paraId="5168D4E7" w14:textId="06636302" w:rsidR="00BD0C78" w:rsidRPr="00BD0C78" w:rsidRDefault="000D6C1A" w:rsidP="00BD0C78">
      <w:r>
        <w:t xml:space="preserve">Base case material costs for this measure represent an average </w:t>
      </w:r>
      <w:r w:rsidR="00C35EC3">
        <w:t>of cost</w:t>
      </w:r>
      <w:r>
        <w:t xml:space="preserve"> </w:t>
      </w:r>
      <w:r w:rsidR="00C35EC3">
        <w:t xml:space="preserve">data </w:t>
      </w:r>
      <w:r>
        <w:t xml:space="preserve">obtained from </w:t>
      </w:r>
      <w:r w:rsidR="00AE0952">
        <w:t>Portfolio of the Future (</w:t>
      </w:r>
      <w:proofErr w:type="spellStart"/>
      <w:r>
        <w:t>P</w:t>
      </w:r>
      <w:r w:rsidR="00AE0952">
        <w:t>o</w:t>
      </w:r>
      <w:r>
        <w:t>F</w:t>
      </w:r>
      <w:proofErr w:type="spellEnd"/>
      <w:r w:rsidR="00AE0952">
        <w:t>)</w:t>
      </w:r>
      <w:r>
        <w:t xml:space="preserve"> test pilot project</w:t>
      </w:r>
      <w:r w:rsidR="00A373DC">
        <w:t xml:space="preserve"> </w:t>
      </w:r>
      <w:r w:rsidR="00C35EC3">
        <w:t>conducted</w:t>
      </w:r>
      <w:r w:rsidR="00A373DC">
        <w:t xml:space="preserve"> by </w:t>
      </w:r>
      <w:r w:rsidR="00A373DC" w:rsidRPr="001452A9">
        <w:rPr>
          <w:szCs w:val="22"/>
        </w:rPr>
        <w:t>Navigant Consulting, Inc.</w:t>
      </w:r>
      <w:r>
        <w:t xml:space="preserve"> </w:t>
      </w:r>
      <w:r w:rsidR="00C35EC3">
        <w:t>and from</w:t>
      </w:r>
      <w:r>
        <w:t xml:space="preserve"> manufacturer</w:t>
      </w:r>
      <w:r w:rsidR="007122E6">
        <w:t>/contractor discussions</w:t>
      </w:r>
      <w:r>
        <w:t>.</w:t>
      </w:r>
      <w:r w:rsidR="00E2218E">
        <w:rPr>
          <w:rStyle w:val="FootnoteReference"/>
        </w:rPr>
        <w:footnoteReference w:id="12"/>
      </w:r>
      <w:r w:rsidR="00C35EC3">
        <w:t xml:space="preserve"> </w:t>
      </w:r>
      <w:r w:rsidR="007122E6">
        <w:t>The actual base case material costs may vary depending on the distance between the water heater and the rooftop unit (RTU), various local labor rates, and the variations in markups and material costs.</w:t>
      </w:r>
      <w:r w:rsidR="00B6276C">
        <w:t xml:space="preserve"> </w:t>
      </w:r>
    </w:p>
    <w:p w14:paraId="3DBC7277" w14:textId="59282117" w:rsidR="00BD0C78" w:rsidRPr="00BD0C78" w:rsidRDefault="00BD0C78" w:rsidP="00931868">
      <w:pPr>
        <w:pStyle w:val="Caption"/>
      </w:pPr>
      <w:bookmarkStart w:id="51" w:name="_Toc467162749"/>
      <w:r w:rsidRPr="00BD0C78">
        <w:t>Base Cost</w:t>
      </w:r>
      <w:r w:rsidR="00C276AA">
        <w:t xml:space="preserve"> Material</w:t>
      </w:r>
      <w:r w:rsidRPr="00BD0C78">
        <w:t xml:space="preserve"> </w:t>
      </w:r>
      <w:r w:rsidR="00E2218E">
        <w:t xml:space="preserve">Cost Inputs </w:t>
      </w:r>
      <w:bookmarkEnd w:id="51"/>
      <w:r w:rsidR="00E2218E">
        <w:t>(10-ton Unit)</w:t>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1440"/>
        <w:gridCol w:w="1440"/>
      </w:tblGrid>
      <w:tr w:rsidR="00E2218E" w:rsidRPr="00E2218E" w14:paraId="1D64BBED" w14:textId="77777777" w:rsidTr="00B143A6">
        <w:trPr>
          <w:trHeight w:val="288"/>
        </w:trPr>
        <w:tc>
          <w:tcPr>
            <w:tcW w:w="4320" w:type="dxa"/>
            <w:shd w:val="clear" w:color="auto" w:fill="F2F2F2" w:themeFill="background1" w:themeFillShade="F2"/>
            <w:vAlign w:val="bottom"/>
            <w:hideMark/>
          </w:tcPr>
          <w:p w14:paraId="30581FD4" w14:textId="00744359" w:rsidR="00BD0C78" w:rsidRPr="00B143A6" w:rsidRDefault="00E2218E" w:rsidP="00B143A6">
            <w:pPr>
              <w:spacing w:before="0" w:after="0" w:line="240" w:lineRule="auto"/>
              <w:jc w:val="center"/>
              <w:rPr>
                <w:rFonts w:eastAsia="Times New Roman" w:cs="Calibri Light"/>
                <w:b/>
                <w:bCs/>
                <w:sz w:val="20"/>
                <w:szCs w:val="20"/>
              </w:rPr>
            </w:pPr>
            <w:r>
              <w:rPr>
                <w:rFonts w:eastAsia="Times New Roman" w:cs="Calibri Light"/>
                <w:b/>
                <w:bCs/>
                <w:sz w:val="20"/>
                <w:szCs w:val="20"/>
              </w:rPr>
              <w:t>Input</w:t>
            </w:r>
          </w:p>
        </w:tc>
        <w:tc>
          <w:tcPr>
            <w:tcW w:w="1440" w:type="dxa"/>
            <w:shd w:val="clear" w:color="auto" w:fill="F2F2F2" w:themeFill="background1" w:themeFillShade="F2"/>
            <w:vAlign w:val="bottom"/>
            <w:hideMark/>
          </w:tcPr>
          <w:p w14:paraId="3FC9D365" w14:textId="08B35B4D" w:rsidR="00BD0C78" w:rsidRPr="00B143A6" w:rsidRDefault="00E2218E" w:rsidP="00B143A6">
            <w:pPr>
              <w:spacing w:before="0" w:after="0" w:line="240" w:lineRule="auto"/>
              <w:jc w:val="center"/>
              <w:rPr>
                <w:rFonts w:eastAsia="Times New Roman" w:cs="Calibri Light"/>
                <w:b/>
                <w:bCs/>
                <w:sz w:val="20"/>
                <w:szCs w:val="20"/>
              </w:rPr>
            </w:pPr>
            <w:r w:rsidRPr="00B143A6">
              <w:rPr>
                <w:rFonts w:eastAsia="Times New Roman" w:cs="Calibri Light"/>
                <w:b/>
                <w:bCs/>
                <w:sz w:val="20"/>
                <w:szCs w:val="20"/>
              </w:rPr>
              <w:t xml:space="preserve">Cost </w:t>
            </w:r>
            <w:r w:rsidR="00BD0C78" w:rsidRPr="00B143A6">
              <w:rPr>
                <w:rFonts w:eastAsia="Times New Roman" w:cs="Calibri Light"/>
                <w:b/>
                <w:bCs/>
                <w:sz w:val="20"/>
                <w:szCs w:val="20"/>
              </w:rPr>
              <w:t>per unit</w:t>
            </w:r>
            <w:r>
              <w:rPr>
                <w:rFonts w:eastAsia="Times New Roman" w:cs="Calibri Light"/>
                <w:b/>
                <w:bCs/>
                <w:sz w:val="20"/>
                <w:szCs w:val="20"/>
              </w:rPr>
              <w:t xml:space="preserve"> ($)</w:t>
            </w:r>
          </w:p>
        </w:tc>
        <w:tc>
          <w:tcPr>
            <w:tcW w:w="1440" w:type="dxa"/>
            <w:shd w:val="clear" w:color="auto" w:fill="F2F2F2" w:themeFill="background1" w:themeFillShade="F2"/>
            <w:vAlign w:val="bottom"/>
            <w:hideMark/>
          </w:tcPr>
          <w:p w14:paraId="3CBF9931" w14:textId="0BB2ED3F" w:rsidR="00BD0C78" w:rsidRPr="00B143A6" w:rsidRDefault="00E2218E" w:rsidP="00B143A6">
            <w:pPr>
              <w:spacing w:before="0" w:after="0" w:line="240" w:lineRule="auto"/>
              <w:jc w:val="center"/>
              <w:rPr>
                <w:rFonts w:eastAsia="Times New Roman" w:cs="Calibri Light"/>
                <w:b/>
                <w:bCs/>
                <w:sz w:val="20"/>
                <w:szCs w:val="20"/>
              </w:rPr>
            </w:pPr>
            <w:r w:rsidRPr="00B143A6">
              <w:rPr>
                <w:rFonts w:eastAsia="Times New Roman" w:cs="Calibri Light"/>
                <w:b/>
                <w:bCs/>
                <w:sz w:val="20"/>
                <w:szCs w:val="20"/>
              </w:rPr>
              <w:t xml:space="preserve">Cost </w:t>
            </w:r>
            <w:r w:rsidR="00BD0C78" w:rsidRPr="00B143A6">
              <w:rPr>
                <w:rFonts w:eastAsia="Times New Roman" w:cs="Calibri Light"/>
                <w:b/>
                <w:bCs/>
                <w:sz w:val="20"/>
                <w:szCs w:val="20"/>
              </w:rPr>
              <w:t>per ton</w:t>
            </w:r>
            <w:r>
              <w:rPr>
                <w:rFonts w:eastAsia="Times New Roman" w:cs="Calibri Light"/>
                <w:b/>
                <w:bCs/>
                <w:sz w:val="20"/>
                <w:szCs w:val="20"/>
              </w:rPr>
              <w:t xml:space="preserve"> ($)</w:t>
            </w:r>
          </w:p>
        </w:tc>
      </w:tr>
      <w:tr w:rsidR="00E2218E" w:rsidRPr="00E2218E" w14:paraId="7E2E28D2" w14:textId="77777777" w:rsidTr="00B143A6">
        <w:trPr>
          <w:trHeight w:val="288"/>
        </w:trPr>
        <w:tc>
          <w:tcPr>
            <w:tcW w:w="4320" w:type="dxa"/>
            <w:shd w:val="clear" w:color="auto" w:fill="auto"/>
            <w:vAlign w:val="center"/>
            <w:hideMark/>
          </w:tcPr>
          <w:p w14:paraId="3C8A45BE" w14:textId="004C2D44" w:rsidR="00BD0C78" w:rsidRPr="00B143A6" w:rsidRDefault="00BD0C78" w:rsidP="00BD0C78">
            <w:pPr>
              <w:spacing w:before="0" w:after="0" w:line="240" w:lineRule="auto"/>
              <w:rPr>
                <w:rFonts w:eastAsia="Times New Roman" w:cs="Calibri Light"/>
                <w:sz w:val="20"/>
                <w:szCs w:val="20"/>
              </w:rPr>
            </w:pPr>
            <w:r w:rsidRPr="00B143A6">
              <w:rPr>
                <w:rFonts w:eastAsia="Times New Roman" w:cs="Calibri Light"/>
                <w:sz w:val="20"/>
                <w:szCs w:val="20"/>
              </w:rPr>
              <w:t>RTU</w:t>
            </w:r>
          </w:p>
        </w:tc>
        <w:tc>
          <w:tcPr>
            <w:tcW w:w="1440" w:type="dxa"/>
            <w:shd w:val="clear" w:color="auto" w:fill="auto"/>
            <w:vAlign w:val="center"/>
            <w:hideMark/>
          </w:tcPr>
          <w:p w14:paraId="1FA27147" w14:textId="77777777" w:rsidR="00BD0C78" w:rsidRPr="00B143A6" w:rsidRDefault="00BD0C78" w:rsidP="00B143A6">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$5,000 </w:t>
            </w:r>
          </w:p>
        </w:tc>
        <w:tc>
          <w:tcPr>
            <w:tcW w:w="1440" w:type="dxa"/>
            <w:shd w:val="clear" w:color="auto" w:fill="auto"/>
            <w:vAlign w:val="center"/>
            <w:hideMark/>
          </w:tcPr>
          <w:p w14:paraId="35E06FCF" w14:textId="77777777" w:rsidR="00BD0C78" w:rsidRPr="00B143A6" w:rsidRDefault="00BD0C78" w:rsidP="00B143A6">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$500 </w:t>
            </w:r>
          </w:p>
        </w:tc>
      </w:tr>
      <w:tr w:rsidR="00E2218E" w:rsidRPr="00E2218E" w14:paraId="2F6C1E5E" w14:textId="77777777" w:rsidTr="00B143A6">
        <w:trPr>
          <w:trHeight w:val="288"/>
        </w:trPr>
        <w:tc>
          <w:tcPr>
            <w:tcW w:w="4320" w:type="dxa"/>
            <w:shd w:val="clear" w:color="auto" w:fill="auto"/>
            <w:vAlign w:val="center"/>
            <w:hideMark/>
          </w:tcPr>
          <w:p w14:paraId="4BE0EB36" w14:textId="05712B46" w:rsidR="00BD0C78" w:rsidRPr="00B143A6" w:rsidRDefault="00BD0C78" w:rsidP="00BD0C78">
            <w:pPr>
              <w:spacing w:before="0" w:after="0" w:line="240" w:lineRule="auto"/>
              <w:rPr>
                <w:rFonts w:eastAsia="Times New Roman" w:cs="Calibri Light"/>
                <w:sz w:val="20"/>
                <w:szCs w:val="20"/>
              </w:rPr>
            </w:pPr>
            <w:r w:rsidRPr="00B143A6">
              <w:rPr>
                <w:rFonts w:eastAsia="Times New Roman" w:cs="Calibri Light"/>
                <w:sz w:val="20"/>
                <w:szCs w:val="20"/>
              </w:rPr>
              <w:t>Curb adapter</w:t>
            </w:r>
          </w:p>
        </w:tc>
        <w:tc>
          <w:tcPr>
            <w:tcW w:w="1440" w:type="dxa"/>
            <w:shd w:val="clear" w:color="auto" w:fill="auto"/>
            <w:vAlign w:val="center"/>
            <w:hideMark/>
          </w:tcPr>
          <w:p w14:paraId="0EAC5841" w14:textId="77777777" w:rsidR="00BD0C78" w:rsidRPr="00B143A6" w:rsidRDefault="00BD0C78" w:rsidP="00B143A6">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$900 </w:t>
            </w:r>
          </w:p>
        </w:tc>
        <w:tc>
          <w:tcPr>
            <w:tcW w:w="1440" w:type="dxa"/>
            <w:shd w:val="clear" w:color="auto" w:fill="auto"/>
            <w:vAlign w:val="center"/>
            <w:hideMark/>
          </w:tcPr>
          <w:p w14:paraId="04C25CBB" w14:textId="77777777" w:rsidR="00BD0C78" w:rsidRPr="00B143A6" w:rsidRDefault="00BD0C78" w:rsidP="00B143A6">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$90 </w:t>
            </w:r>
          </w:p>
        </w:tc>
      </w:tr>
      <w:tr w:rsidR="009A3A85" w:rsidRPr="00E2218E" w14:paraId="253D03BD" w14:textId="77777777" w:rsidTr="00B143A6">
        <w:trPr>
          <w:trHeight w:val="288"/>
        </w:trPr>
        <w:tc>
          <w:tcPr>
            <w:tcW w:w="4320" w:type="dxa"/>
            <w:shd w:val="clear" w:color="auto" w:fill="auto"/>
            <w:vAlign w:val="center"/>
            <w:hideMark/>
          </w:tcPr>
          <w:p w14:paraId="61D5CAF9" w14:textId="6195DE4B" w:rsidR="009A3A85" w:rsidRPr="00B143A6" w:rsidRDefault="009A3A85" w:rsidP="009A3A85">
            <w:pPr>
              <w:spacing w:before="0" w:after="0" w:line="240" w:lineRule="auto"/>
              <w:rPr>
                <w:rFonts w:eastAsia="Times New Roman" w:cs="Calibri Light"/>
                <w:sz w:val="20"/>
                <w:szCs w:val="20"/>
              </w:rPr>
            </w:pPr>
            <w:r>
              <w:rPr>
                <w:rFonts w:eastAsia="Times New Roman" w:cs="Calibri Light"/>
                <w:sz w:val="20"/>
                <w:szCs w:val="20"/>
              </w:rPr>
              <w:t>S</w:t>
            </w:r>
            <w:r w:rsidRPr="00B143A6">
              <w:rPr>
                <w:rFonts w:eastAsia="Times New Roman" w:cs="Calibri Light"/>
                <w:sz w:val="20"/>
                <w:szCs w:val="20"/>
              </w:rPr>
              <w:t>torage tank</w:t>
            </w:r>
          </w:p>
        </w:tc>
        <w:tc>
          <w:tcPr>
            <w:tcW w:w="1440" w:type="dxa"/>
            <w:shd w:val="clear" w:color="auto" w:fill="auto"/>
            <w:vAlign w:val="center"/>
            <w:hideMark/>
          </w:tcPr>
          <w:p w14:paraId="61D88F97" w14:textId="4D7DBE7F" w:rsidR="009A3A85" w:rsidRPr="00B143A6" w:rsidRDefault="009A3A85" w:rsidP="00B143A6">
            <w:pPr>
              <w:spacing w:before="0" w:after="0" w:line="240" w:lineRule="auto"/>
              <w:ind w:right="350"/>
              <w:jc w:val="right"/>
              <w:rPr>
                <w:rFonts w:eastAsia="Times New Roman" w:cs="Calibri Light"/>
                <w:sz w:val="20"/>
                <w:szCs w:val="20"/>
              </w:rPr>
            </w:pPr>
            <w:r w:rsidRPr="002B6439">
              <w:rPr>
                <w:rFonts w:eastAsia="Times New Roman" w:cs="Calibri Light"/>
                <w:sz w:val="20"/>
                <w:szCs w:val="20"/>
              </w:rPr>
              <w:t>n/a</w:t>
            </w:r>
          </w:p>
        </w:tc>
        <w:tc>
          <w:tcPr>
            <w:tcW w:w="1440" w:type="dxa"/>
            <w:shd w:val="clear" w:color="auto" w:fill="auto"/>
            <w:vAlign w:val="center"/>
            <w:hideMark/>
          </w:tcPr>
          <w:p w14:paraId="4C098B97" w14:textId="6C01DA43" w:rsidR="009A3A85" w:rsidRPr="00B143A6" w:rsidRDefault="009A3A85" w:rsidP="00B143A6">
            <w:pPr>
              <w:spacing w:before="0" w:after="0" w:line="240" w:lineRule="auto"/>
              <w:ind w:right="350"/>
              <w:jc w:val="right"/>
              <w:rPr>
                <w:rFonts w:eastAsia="Times New Roman" w:cs="Calibri Light"/>
                <w:sz w:val="20"/>
                <w:szCs w:val="20"/>
              </w:rPr>
            </w:pPr>
            <w:r w:rsidRPr="002B6439">
              <w:rPr>
                <w:rFonts w:eastAsia="Times New Roman" w:cs="Calibri Light"/>
                <w:sz w:val="20"/>
                <w:szCs w:val="20"/>
              </w:rPr>
              <w:t>n/a</w:t>
            </w:r>
          </w:p>
        </w:tc>
      </w:tr>
      <w:tr w:rsidR="009A3A85" w:rsidRPr="00E2218E" w14:paraId="47038277" w14:textId="77777777" w:rsidTr="00B143A6">
        <w:trPr>
          <w:trHeight w:val="288"/>
        </w:trPr>
        <w:tc>
          <w:tcPr>
            <w:tcW w:w="4320" w:type="dxa"/>
            <w:hideMark/>
          </w:tcPr>
          <w:p w14:paraId="30C52202" w14:textId="1E1F2B29" w:rsidR="009A3A85" w:rsidRPr="00B143A6" w:rsidRDefault="009A3A85" w:rsidP="009A3A85">
            <w:pPr>
              <w:spacing w:before="0" w:after="0" w:line="240" w:lineRule="auto"/>
              <w:rPr>
                <w:rFonts w:eastAsia="Times New Roman" w:cs="Calibri Light"/>
                <w:sz w:val="20"/>
                <w:szCs w:val="20"/>
              </w:rPr>
            </w:pPr>
            <w:r>
              <w:rPr>
                <w:rFonts w:eastAsia="Times New Roman" w:cs="Calibri Light"/>
                <w:sz w:val="20"/>
                <w:szCs w:val="20"/>
              </w:rPr>
              <w:t>P</w:t>
            </w:r>
            <w:r w:rsidRPr="00B143A6">
              <w:rPr>
                <w:rFonts w:eastAsia="Times New Roman" w:cs="Calibri Light"/>
                <w:sz w:val="20"/>
                <w:szCs w:val="20"/>
              </w:rPr>
              <w:t xml:space="preserve">iping, other misc. </w:t>
            </w:r>
          </w:p>
        </w:tc>
        <w:tc>
          <w:tcPr>
            <w:tcW w:w="1440" w:type="dxa"/>
            <w:vAlign w:val="center"/>
            <w:hideMark/>
          </w:tcPr>
          <w:p w14:paraId="15B670FC" w14:textId="2CC7903F" w:rsidR="009A3A85" w:rsidRPr="00B143A6" w:rsidRDefault="009A3A85" w:rsidP="00B143A6">
            <w:pPr>
              <w:spacing w:before="0" w:after="0" w:line="240" w:lineRule="auto"/>
              <w:ind w:right="350"/>
              <w:jc w:val="right"/>
              <w:rPr>
                <w:rFonts w:eastAsia="Times New Roman" w:cs="Calibri Light"/>
                <w:sz w:val="20"/>
                <w:szCs w:val="20"/>
              </w:rPr>
            </w:pPr>
            <w:r w:rsidRPr="002B6439">
              <w:rPr>
                <w:rFonts w:eastAsia="Times New Roman" w:cs="Calibri Light"/>
                <w:sz w:val="20"/>
                <w:szCs w:val="20"/>
              </w:rPr>
              <w:t>n/a</w:t>
            </w:r>
          </w:p>
        </w:tc>
        <w:tc>
          <w:tcPr>
            <w:tcW w:w="1440" w:type="dxa"/>
            <w:vAlign w:val="center"/>
            <w:hideMark/>
          </w:tcPr>
          <w:p w14:paraId="13192740" w14:textId="7EF59E3E" w:rsidR="009A3A85" w:rsidRPr="00B143A6" w:rsidRDefault="009A3A85" w:rsidP="00B143A6">
            <w:pPr>
              <w:spacing w:before="0" w:after="0" w:line="240" w:lineRule="auto"/>
              <w:ind w:right="350"/>
              <w:jc w:val="right"/>
              <w:rPr>
                <w:rFonts w:eastAsia="Times New Roman" w:cs="Calibri Light"/>
                <w:sz w:val="20"/>
                <w:szCs w:val="20"/>
              </w:rPr>
            </w:pPr>
            <w:r w:rsidRPr="002B6439">
              <w:rPr>
                <w:rFonts w:eastAsia="Times New Roman" w:cs="Calibri Light"/>
                <w:sz w:val="20"/>
                <w:szCs w:val="20"/>
              </w:rPr>
              <w:t>n/a</w:t>
            </w:r>
          </w:p>
        </w:tc>
      </w:tr>
      <w:tr w:rsidR="00E2218E" w:rsidRPr="00E2218E" w14:paraId="6A1047CB" w14:textId="77777777" w:rsidTr="00B143A6">
        <w:trPr>
          <w:trHeight w:val="288"/>
        </w:trPr>
        <w:tc>
          <w:tcPr>
            <w:tcW w:w="4320" w:type="dxa"/>
            <w:shd w:val="clear" w:color="auto" w:fill="auto"/>
            <w:vAlign w:val="center"/>
            <w:hideMark/>
          </w:tcPr>
          <w:p w14:paraId="5C364C1C" w14:textId="77777777" w:rsidR="00BD0C78" w:rsidRPr="00B143A6" w:rsidRDefault="00BD0C78" w:rsidP="00BD0C78">
            <w:pPr>
              <w:spacing w:before="0" w:after="0" w:line="240" w:lineRule="auto"/>
              <w:rPr>
                <w:rFonts w:eastAsia="Times New Roman" w:cs="Calibri Light"/>
                <w:b/>
                <w:bCs/>
                <w:sz w:val="20"/>
                <w:szCs w:val="20"/>
              </w:rPr>
            </w:pPr>
            <w:r w:rsidRPr="00B143A6">
              <w:rPr>
                <w:rFonts w:eastAsia="Times New Roman" w:cs="Calibri Light"/>
                <w:b/>
                <w:bCs/>
                <w:sz w:val="20"/>
                <w:szCs w:val="20"/>
              </w:rPr>
              <w:t>Total</w:t>
            </w:r>
          </w:p>
        </w:tc>
        <w:tc>
          <w:tcPr>
            <w:tcW w:w="1440" w:type="dxa"/>
            <w:shd w:val="clear" w:color="auto" w:fill="auto"/>
            <w:vAlign w:val="center"/>
            <w:hideMark/>
          </w:tcPr>
          <w:p w14:paraId="2A12B1E7" w14:textId="25C39F94" w:rsidR="00BD0C78" w:rsidRPr="00B143A6" w:rsidRDefault="00BD0C78" w:rsidP="00B143A6">
            <w:pPr>
              <w:spacing w:before="0" w:after="0" w:line="240" w:lineRule="auto"/>
              <w:ind w:right="350"/>
              <w:jc w:val="right"/>
              <w:rPr>
                <w:rFonts w:eastAsia="Times New Roman" w:cs="Calibri Light"/>
                <w:b/>
                <w:bCs/>
                <w:sz w:val="20"/>
                <w:szCs w:val="20"/>
              </w:rPr>
            </w:pPr>
            <w:r w:rsidRPr="00B143A6">
              <w:rPr>
                <w:rFonts w:eastAsia="Times New Roman" w:cs="Calibri Light"/>
                <w:b/>
                <w:bCs/>
                <w:sz w:val="20"/>
                <w:szCs w:val="20"/>
              </w:rPr>
              <w:t>$</w:t>
            </w:r>
            <w:r w:rsidR="00C276AA" w:rsidRPr="00B143A6">
              <w:rPr>
                <w:rFonts w:eastAsia="Times New Roman" w:cs="Calibri Light"/>
                <w:b/>
                <w:bCs/>
                <w:sz w:val="20"/>
                <w:szCs w:val="20"/>
              </w:rPr>
              <w:t>5,900</w:t>
            </w:r>
          </w:p>
        </w:tc>
        <w:tc>
          <w:tcPr>
            <w:tcW w:w="1440" w:type="dxa"/>
            <w:shd w:val="clear" w:color="auto" w:fill="auto"/>
            <w:vAlign w:val="center"/>
            <w:hideMark/>
          </w:tcPr>
          <w:p w14:paraId="2A3FBBB1" w14:textId="762A80AF" w:rsidR="00BD0C78" w:rsidRPr="00B143A6" w:rsidRDefault="00BD0C78" w:rsidP="00B143A6">
            <w:pPr>
              <w:spacing w:before="0" w:after="0" w:line="240" w:lineRule="auto"/>
              <w:ind w:right="350"/>
              <w:jc w:val="right"/>
              <w:rPr>
                <w:rFonts w:eastAsia="Times New Roman" w:cs="Calibri Light"/>
                <w:b/>
                <w:bCs/>
                <w:sz w:val="20"/>
                <w:szCs w:val="20"/>
              </w:rPr>
            </w:pPr>
            <w:r w:rsidRPr="00B143A6">
              <w:rPr>
                <w:rFonts w:eastAsia="Times New Roman" w:cs="Calibri Light"/>
                <w:b/>
                <w:bCs/>
                <w:sz w:val="20"/>
                <w:szCs w:val="20"/>
              </w:rPr>
              <w:t>$</w:t>
            </w:r>
            <w:r w:rsidR="00C276AA" w:rsidRPr="00B143A6">
              <w:rPr>
                <w:rFonts w:eastAsia="Times New Roman" w:cs="Calibri Light"/>
                <w:b/>
                <w:bCs/>
                <w:sz w:val="20"/>
                <w:szCs w:val="20"/>
              </w:rPr>
              <w:t>590</w:t>
            </w:r>
            <w:r w:rsidRPr="00B143A6">
              <w:rPr>
                <w:rFonts w:eastAsia="Times New Roman" w:cs="Calibri Light"/>
                <w:b/>
                <w:bCs/>
                <w:sz w:val="20"/>
                <w:szCs w:val="20"/>
              </w:rPr>
              <w:t xml:space="preserve"> </w:t>
            </w:r>
          </w:p>
        </w:tc>
      </w:tr>
    </w:tbl>
    <w:p w14:paraId="2596A349" w14:textId="45DDD3ED" w:rsidR="00886FE6" w:rsidRPr="00BD0C78" w:rsidRDefault="00886FE6" w:rsidP="00BD0C78"/>
    <w:p w14:paraId="44E8DBEB" w14:textId="77777777" w:rsidR="007D230B" w:rsidRPr="004B06E3" w:rsidRDefault="007D230B" w:rsidP="006B4A4F">
      <w:pPr>
        <w:pStyle w:val="eTRMHeading3"/>
      </w:pPr>
      <w:bookmarkStart w:id="52" w:name="_Toc486490861"/>
      <w:bookmarkStart w:id="53" w:name="_Toc486580932"/>
      <w:bookmarkStart w:id="54" w:name="_Toc24552027"/>
      <w:r w:rsidRPr="004B06E3">
        <w:t>Measure Case Material Cost ($/unit)</w:t>
      </w:r>
      <w:bookmarkEnd w:id="52"/>
      <w:bookmarkEnd w:id="53"/>
      <w:bookmarkEnd w:id="54"/>
    </w:p>
    <w:p w14:paraId="4EDB6A7D" w14:textId="375CFE62" w:rsidR="00C276AA" w:rsidRPr="00C276AA" w:rsidRDefault="007122E6" w:rsidP="00C276AA">
      <w:pPr>
        <w:spacing w:before="0" w:after="0" w:line="240" w:lineRule="auto"/>
        <w:rPr>
          <w:szCs w:val="22"/>
        </w:rPr>
      </w:pPr>
      <w:r>
        <w:t xml:space="preserve">Measure case material costs represent </w:t>
      </w:r>
      <w:r w:rsidR="007B6170">
        <w:t>the</w:t>
      </w:r>
      <w:r>
        <w:t xml:space="preserve"> average </w:t>
      </w:r>
      <w:r w:rsidR="007B6170">
        <w:t>of cost data</w:t>
      </w:r>
      <w:r>
        <w:t xml:space="preserve"> obtained from </w:t>
      </w:r>
      <w:r w:rsidR="00A373DC">
        <w:t>Portfolio of the Future (</w:t>
      </w:r>
      <w:proofErr w:type="spellStart"/>
      <w:r w:rsidR="00A373DC">
        <w:t>PoF</w:t>
      </w:r>
      <w:proofErr w:type="spellEnd"/>
      <w:r w:rsidR="00A373DC">
        <w:t xml:space="preserve">) test pilot project </w:t>
      </w:r>
      <w:r w:rsidR="007B6170">
        <w:t>conducted by</w:t>
      </w:r>
      <w:r w:rsidR="00A373DC">
        <w:t xml:space="preserve"> </w:t>
      </w:r>
      <w:r w:rsidR="00A373DC" w:rsidRPr="00287ECA">
        <w:rPr>
          <w:szCs w:val="22"/>
        </w:rPr>
        <w:t>Navigant Consulting, Inc.</w:t>
      </w:r>
      <w:r>
        <w:t xml:space="preserve"> </w:t>
      </w:r>
      <w:r w:rsidR="007B6170">
        <w:t xml:space="preserve">and from manufacturer/contractor </w:t>
      </w:r>
      <w:r w:rsidR="007B6170">
        <w:lastRenderedPageBreak/>
        <w:t>discussions.</w:t>
      </w:r>
      <w:r w:rsidR="007B6170">
        <w:rPr>
          <w:rStyle w:val="FootnoteReference"/>
        </w:rPr>
        <w:footnoteReference w:id="13"/>
      </w:r>
      <w:r w:rsidR="007B6170">
        <w:t xml:space="preserve"> </w:t>
      </w:r>
      <w:r>
        <w:t>The actual measure case material costs may vary depending on the distance between the water heater and the rooftop unit (RTU), various local labor rates, and the variations in markups and material costs</w:t>
      </w:r>
      <w:r w:rsidR="009A3A85">
        <w:t>.</w:t>
      </w:r>
      <w:r>
        <w:t xml:space="preserve"> </w:t>
      </w:r>
    </w:p>
    <w:p w14:paraId="224FCE45" w14:textId="63131F4B" w:rsidR="00C276AA" w:rsidRPr="00C276AA" w:rsidRDefault="00C276AA" w:rsidP="00931868">
      <w:pPr>
        <w:pStyle w:val="Caption"/>
      </w:pPr>
      <w:bookmarkStart w:id="55" w:name="_Toc467162750"/>
      <w:r w:rsidRPr="00C276AA">
        <w:t xml:space="preserve">Measure Case Material Cost </w:t>
      </w:r>
      <w:bookmarkEnd w:id="55"/>
      <w:r w:rsidR="007B6170">
        <w:t>Inputs</w:t>
      </w:r>
      <w:r w:rsidR="00674D41">
        <w:t xml:space="preserve"> (10-ton Unit)</w:t>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1440"/>
        <w:gridCol w:w="1440"/>
      </w:tblGrid>
      <w:tr w:rsidR="007B6170" w:rsidRPr="009A3A85" w14:paraId="62A095AB" w14:textId="77777777" w:rsidTr="00B143A6">
        <w:trPr>
          <w:trHeight w:val="288"/>
        </w:trPr>
        <w:tc>
          <w:tcPr>
            <w:tcW w:w="4320" w:type="dxa"/>
            <w:shd w:val="clear" w:color="auto" w:fill="F2F2F2" w:themeFill="background1" w:themeFillShade="F2"/>
            <w:vAlign w:val="bottom"/>
            <w:hideMark/>
          </w:tcPr>
          <w:p w14:paraId="1423C00F" w14:textId="77777777" w:rsidR="007B6170" w:rsidRPr="009A3A85" w:rsidRDefault="007B6170" w:rsidP="006B4A4F">
            <w:pPr>
              <w:spacing w:before="0" w:after="0" w:line="240" w:lineRule="auto"/>
              <w:jc w:val="center"/>
              <w:rPr>
                <w:rFonts w:eastAsia="Times New Roman" w:cs="Calibri Light"/>
                <w:b/>
                <w:bCs/>
                <w:sz w:val="20"/>
                <w:szCs w:val="20"/>
              </w:rPr>
            </w:pPr>
            <w:r w:rsidRPr="009A3A85">
              <w:rPr>
                <w:rFonts w:eastAsia="Times New Roman" w:cs="Calibri Light"/>
                <w:b/>
                <w:bCs/>
                <w:sz w:val="20"/>
                <w:szCs w:val="20"/>
              </w:rPr>
              <w:t>Input</w:t>
            </w:r>
          </w:p>
        </w:tc>
        <w:tc>
          <w:tcPr>
            <w:tcW w:w="1440" w:type="dxa"/>
            <w:shd w:val="clear" w:color="auto" w:fill="F2F2F2" w:themeFill="background1" w:themeFillShade="F2"/>
            <w:vAlign w:val="bottom"/>
            <w:hideMark/>
          </w:tcPr>
          <w:p w14:paraId="3A8BC7AE" w14:textId="77777777" w:rsidR="007B6170" w:rsidRPr="009A3A85" w:rsidRDefault="007B6170" w:rsidP="006B4A4F">
            <w:pPr>
              <w:spacing w:before="0" w:after="0" w:line="240" w:lineRule="auto"/>
              <w:jc w:val="center"/>
              <w:rPr>
                <w:rFonts w:eastAsia="Times New Roman" w:cs="Calibri Light"/>
                <w:b/>
                <w:bCs/>
                <w:sz w:val="20"/>
                <w:szCs w:val="20"/>
              </w:rPr>
            </w:pPr>
            <w:r w:rsidRPr="009A3A85">
              <w:rPr>
                <w:rFonts w:eastAsia="Times New Roman" w:cs="Calibri Light"/>
                <w:b/>
                <w:bCs/>
                <w:sz w:val="20"/>
                <w:szCs w:val="20"/>
              </w:rPr>
              <w:t>Cost per unit ($)</w:t>
            </w:r>
          </w:p>
        </w:tc>
        <w:tc>
          <w:tcPr>
            <w:tcW w:w="1440" w:type="dxa"/>
            <w:shd w:val="clear" w:color="auto" w:fill="F2F2F2" w:themeFill="background1" w:themeFillShade="F2"/>
            <w:vAlign w:val="bottom"/>
            <w:hideMark/>
          </w:tcPr>
          <w:p w14:paraId="1F783BF3" w14:textId="77777777" w:rsidR="007B6170" w:rsidRPr="009A3A85" w:rsidRDefault="007B6170" w:rsidP="006B4A4F">
            <w:pPr>
              <w:spacing w:before="0" w:after="0" w:line="240" w:lineRule="auto"/>
              <w:jc w:val="center"/>
              <w:rPr>
                <w:rFonts w:eastAsia="Times New Roman" w:cs="Calibri Light"/>
                <w:b/>
                <w:bCs/>
                <w:sz w:val="20"/>
                <w:szCs w:val="20"/>
              </w:rPr>
            </w:pPr>
            <w:r w:rsidRPr="009A3A85">
              <w:rPr>
                <w:rFonts w:eastAsia="Times New Roman" w:cs="Calibri Light"/>
                <w:b/>
                <w:bCs/>
                <w:sz w:val="20"/>
                <w:szCs w:val="20"/>
              </w:rPr>
              <w:t>Cost per ton ($)</w:t>
            </w:r>
          </w:p>
        </w:tc>
      </w:tr>
      <w:tr w:rsidR="007B6170" w:rsidRPr="009A3A85" w14:paraId="0D0DF3C0" w14:textId="77777777" w:rsidTr="00B143A6">
        <w:trPr>
          <w:trHeight w:val="288"/>
        </w:trPr>
        <w:tc>
          <w:tcPr>
            <w:tcW w:w="4320" w:type="dxa"/>
            <w:shd w:val="clear" w:color="auto" w:fill="auto"/>
            <w:vAlign w:val="center"/>
            <w:hideMark/>
          </w:tcPr>
          <w:p w14:paraId="6713198B" w14:textId="104A65A7" w:rsidR="007B6170" w:rsidRPr="009A3A85" w:rsidRDefault="007B6170" w:rsidP="007B6170">
            <w:pPr>
              <w:spacing w:before="0" w:after="0" w:line="240" w:lineRule="auto"/>
              <w:rPr>
                <w:rFonts w:eastAsia="Times New Roman" w:cs="Calibri Light"/>
                <w:sz w:val="20"/>
                <w:szCs w:val="20"/>
              </w:rPr>
            </w:pPr>
            <w:r w:rsidRPr="00B143A6">
              <w:rPr>
                <w:rFonts w:eastAsia="Times New Roman" w:cs="Calibri Light"/>
                <w:sz w:val="20"/>
                <w:szCs w:val="20"/>
              </w:rPr>
              <w:t>RTU</w:t>
            </w:r>
          </w:p>
        </w:tc>
        <w:tc>
          <w:tcPr>
            <w:tcW w:w="1440" w:type="dxa"/>
            <w:shd w:val="clear" w:color="auto" w:fill="auto"/>
            <w:vAlign w:val="center"/>
            <w:hideMark/>
          </w:tcPr>
          <w:p w14:paraId="62C7E979" w14:textId="20131CA9" w:rsidR="007B6170" w:rsidRPr="009A3A85" w:rsidRDefault="007B6170" w:rsidP="007B6170">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$7,000 </w:t>
            </w:r>
          </w:p>
        </w:tc>
        <w:tc>
          <w:tcPr>
            <w:tcW w:w="1440" w:type="dxa"/>
            <w:shd w:val="clear" w:color="auto" w:fill="auto"/>
            <w:vAlign w:val="center"/>
            <w:hideMark/>
          </w:tcPr>
          <w:p w14:paraId="2A54AA17" w14:textId="4BEB628B" w:rsidR="007B6170" w:rsidRPr="009A3A85" w:rsidRDefault="007B6170" w:rsidP="007B6170">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$700 </w:t>
            </w:r>
          </w:p>
        </w:tc>
      </w:tr>
      <w:tr w:rsidR="007B6170" w:rsidRPr="009A3A85" w14:paraId="5BFB0A56" w14:textId="77777777" w:rsidTr="00B143A6">
        <w:trPr>
          <w:trHeight w:val="288"/>
        </w:trPr>
        <w:tc>
          <w:tcPr>
            <w:tcW w:w="4320" w:type="dxa"/>
            <w:shd w:val="clear" w:color="auto" w:fill="auto"/>
            <w:vAlign w:val="center"/>
            <w:hideMark/>
          </w:tcPr>
          <w:p w14:paraId="6B4CB37C" w14:textId="2B30C64B" w:rsidR="007B6170" w:rsidRPr="009A3A85" w:rsidRDefault="007B6170" w:rsidP="007B6170">
            <w:pPr>
              <w:spacing w:before="0" w:after="0" w:line="240" w:lineRule="auto"/>
              <w:rPr>
                <w:rFonts w:eastAsia="Times New Roman" w:cs="Calibri Light"/>
                <w:sz w:val="20"/>
                <w:szCs w:val="20"/>
              </w:rPr>
            </w:pPr>
            <w:r w:rsidRPr="00B143A6">
              <w:rPr>
                <w:rFonts w:eastAsia="Times New Roman" w:cs="Calibri Light"/>
                <w:sz w:val="20"/>
                <w:szCs w:val="20"/>
              </w:rPr>
              <w:t>Curb adapter</w:t>
            </w:r>
          </w:p>
        </w:tc>
        <w:tc>
          <w:tcPr>
            <w:tcW w:w="1440" w:type="dxa"/>
            <w:shd w:val="clear" w:color="auto" w:fill="auto"/>
            <w:vAlign w:val="center"/>
            <w:hideMark/>
          </w:tcPr>
          <w:p w14:paraId="788E98B9" w14:textId="78942E88" w:rsidR="007B6170" w:rsidRPr="009A3A85" w:rsidRDefault="007B6170" w:rsidP="007B6170">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$900 </w:t>
            </w:r>
          </w:p>
        </w:tc>
        <w:tc>
          <w:tcPr>
            <w:tcW w:w="1440" w:type="dxa"/>
            <w:shd w:val="clear" w:color="auto" w:fill="auto"/>
            <w:vAlign w:val="center"/>
            <w:hideMark/>
          </w:tcPr>
          <w:p w14:paraId="1185FB01" w14:textId="4E8E3247" w:rsidR="007B6170" w:rsidRPr="009A3A85" w:rsidRDefault="007B6170" w:rsidP="007B6170">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$90 </w:t>
            </w:r>
          </w:p>
        </w:tc>
      </w:tr>
      <w:tr w:rsidR="007B6170" w:rsidRPr="009A3A85" w14:paraId="6BC5DA9A" w14:textId="77777777" w:rsidTr="00B143A6">
        <w:trPr>
          <w:trHeight w:val="288"/>
        </w:trPr>
        <w:tc>
          <w:tcPr>
            <w:tcW w:w="4320" w:type="dxa"/>
            <w:vAlign w:val="center"/>
            <w:hideMark/>
          </w:tcPr>
          <w:p w14:paraId="48C86F31" w14:textId="72999DBF" w:rsidR="007B6170" w:rsidRPr="009A3A85" w:rsidRDefault="009A3A85" w:rsidP="007B6170">
            <w:pPr>
              <w:spacing w:before="0" w:after="0" w:line="240" w:lineRule="auto"/>
              <w:rPr>
                <w:rFonts w:eastAsia="Times New Roman" w:cs="Calibri Light"/>
                <w:sz w:val="20"/>
                <w:szCs w:val="20"/>
              </w:rPr>
            </w:pPr>
            <w:r>
              <w:rPr>
                <w:rFonts w:eastAsia="Times New Roman" w:cs="Calibri Light"/>
                <w:sz w:val="20"/>
                <w:szCs w:val="20"/>
              </w:rPr>
              <w:t>S</w:t>
            </w:r>
            <w:r w:rsidR="007B6170" w:rsidRPr="00B143A6">
              <w:rPr>
                <w:rFonts w:eastAsia="Times New Roman" w:cs="Calibri Light"/>
                <w:sz w:val="20"/>
                <w:szCs w:val="20"/>
              </w:rPr>
              <w:t>torage tank</w:t>
            </w:r>
          </w:p>
        </w:tc>
        <w:tc>
          <w:tcPr>
            <w:tcW w:w="1440" w:type="dxa"/>
            <w:vAlign w:val="center"/>
            <w:hideMark/>
          </w:tcPr>
          <w:p w14:paraId="4C5E7E7F" w14:textId="21B2C35C" w:rsidR="007B6170" w:rsidRPr="009A3A85" w:rsidRDefault="007B6170" w:rsidP="007B6170">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$1,000 </w:t>
            </w:r>
          </w:p>
        </w:tc>
        <w:tc>
          <w:tcPr>
            <w:tcW w:w="1440" w:type="dxa"/>
            <w:vAlign w:val="center"/>
            <w:hideMark/>
          </w:tcPr>
          <w:p w14:paraId="6027A3DA" w14:textId="5079B9DA" w:rsidR="007B6170" w:rsidRPr="009A3A85" w:rsidRDefault="007B6170" w:rsidP="007B6170">
            <w:pPr>
              <w:spacing w:before="0" w:after="0" w:line="240" w:lineRule="auto"/>
              <w:ind w:right="350"/>
              <w:jc w:val="right"/>
              <w:rPr>
                <w:rFonts w:eastAsia="Times New Roman" w:cs="Calibri Light"/>
                <w:sz w:val="20"/>
                <w:szCs w:val="20"/>
              </w:rPr>
            </w:pPr>
            <w:r w:rsidRPr="00B143A6">
              <w:rPr>
                <w:rFonts w:eastAsia="Times New Roman" w:cs="Calibri Light"/>
                <w:sz w:val="20"/>
                <w:szCs w:val="20"/>
              </w:rPr>
              <w:t xml:space="preserve">$100 </w:t>
            </w:r>
          </w:p>
        </w:tc>
      </w:tr>
      <w:tr w:rsidR="007B6170" w:rsidRPr="009A3A85" w14:paraId="75EE8360" w14:textId="77777777" w:rsidTr="00B143A6">
        <w:trPr>
          <w:trHeight w:val="288"/>
        </w:trPr>
        <w:tc>
          <w:tcPr>
            <w:tcW w:w="4320" w:type="dxa"/>
            <w:shd w:val="clear" w:color="auto" w:fill="auto"/>
            <w:vAlign w:val="center"/>
            <w:hideMark/>
          </w:tcPr>
          <w:p w14:paraId="2060422E" w14:textId="52CFC22C" w:rsidR="007B6170" w:rsidRPr="009A3A85" w:rsidRDefault="007B6170" w:rsidP="007B6170">
            <w:pPr>
              <w:spacing w:before="0" w:after="0" w:line="240" w:lineRule="auto"/>
              <w:rPr>
                <w:rFonts w:eastAsia="Times New Roman" w:cs="Calibri Light"/>
                <w:b/>
                <w:bCs/>
                <w:sz w:val="20"/>
                <w:szCs w:val="20"/>
              </w:rPr>
            </w:pPr>
            <w:r w:rsidRPr="00B143A6">
              <w:rPr>
                <w:rFonts w:eastAsia="Times New Roman" w:cs="Calibri Light"/>
                <w:b/>
                <w:bCs/>
                <w:sz w:val="20"/>
                <w:szCs w:val="20"/>
              </w:rPr>
              <w:t>Total</w:t>
            </w:r>
          </w:p>
        </w:tc>
        <w:tc>
          <w:tcPr>
            <w:tcW w:w="1440" w:type="dxa"/>
            <w:shd w:val="clear" w:color="auto" w:fill="auto"/>
            <w:vAlign w:val="center"/>
            <w:hideMark/>
          </w:tcPr>
          <w:p w14:paraId="27D7987C" w14:textId="1D3EF46E" w:rsidR="007B6170" w:rsidRPr="009A3A85" w:rsidRDefault="007B6170" w:rsidP="007B6170">
            <w:pPr>
              <w:spacing w:before="0" w:after="0" w:line="240" w:lineRule="auto"/>
              <w:ind w:right="350"/>
              <w:jc w:val="right"/>
              <w:rPr>
                <w:rFonts w:eastAsia="Times New Roman" w:cs="Calibri Light"/>
                <w:b/>
                <w:bCs/>
                <w:sz w:val="20"/>
                <w:szCs w:val="20"/>
              </w:rPr>
            </w:pPr>
            <w:r w:rsidRPr="00B143A6">
              <w:rPr>
                <w:rFonts w:eastAsia="Times New Roman" w:cs="Calibri Light"/>
                <w:b/>
                <w:bCs/>
                <w:sz w:val="20"/>
                <w:szCs w:val="20"/>
              </w:rPr>
              <w:t xml:space="preserve">$8,900 </w:t>
            </w:r>
          </w:p>
        </w:tc>
        <w:tc>
          <w:tcPr>
            <w:tcW w:w="1440" w:type="dxa"/>
            <w:shd w:val="clear" w:color="auto" w:fill="auto"/>
            <w:vAlign w:val="center"/>
            <w:hideMark/>
          </w:tcPr>
          <w:p w14:paraId="15018240" w14:textId="4309CCA4" w:rsidR="007B6170" w:rsidRPr="009A3A85" w:rsidRDefault="007B6170" w:rsidP="007B6170">
            <w:pPr>
              <w:spacing w:before="0" w:after="0" w:line="240" w:lineRule="auto"/>
              <w:ind w:right="350"/>
              <w:jc w:val="right"/>
              <w:rPr>
                <w:rFonts w:eastAsia="Times New Roman" w:cs="Calibri Light"/>
                <w:b/>
                <w:bCs/>
                <w:sz w:val="20"/>
                <w:szCs w:val="20"/>
              </w:rPr>
            </w:pPr>
            <w:r w:rsidRPr="00B143A6">
              <w:rPr>
                <w:rFonts w:eastAsia="Times New Roman" w:cs="Calibri Light"/>
                <w:b/>
                <w:bCs/>
                <w:sz w:val="20"/>
                <w:szCs w:val="20"/>
              </w:rPr>
              <w:t xml:space="preserve">$890 </w:t>
            </w:r>
          </w:p>
        </w:tc>
      </w:tr>
    </w:tbl>
    <w:p w14:paraId="26C09228" w14:textId="518C6603" w:rsidR="007B6170" w:rsidRDefault="007B6170" w:rsidP="005F3C1C">
      <w:pPr>
        <w:spacing w:before="0" w:after="0" w:line="240" w:lineRule="auto"/>
      </w:pPr>
    </w:p>
    <w:p w14:paraId="02691007" w14:textId="3C007D4F" w:rsidR="007D230B" w:rsidRPr="004B06E3" w:rsidRDefault="002E5874" w:rsidP="006B4A4F">
      <w:pPr>
        <w:pStyle w:val="eTRMHeading3"/>
      </w:pPr>
      <w:bookmarkStart w:id="56" w:name="_Toc486490862"/>
      <w:bookmarkStart w:id="57" w:name="_Toc486580933"/>
      <w:bookmarkStart w:id="58" w:name="_Toc24552028"/>
      <w:r>
        <w:t xml:space="preserve">Base Case </w:t>
      </w:r>
      <w:r w:rsidR="007D230B" w:rsidRPr="004B06E3">
        <w:t>Labor Cost ($/unit)</w:t>
      </w:r>
      <w:bookmarkEnd w:id="56"/>
      <w:bookmarkEnd w:id="57"/>
      <w:bookmarkEnd w:id="58"/>
    </w:p>
    <w:p w14:paraId="1FBB7946" w14:textId="411A1637" w:rsidR="00BD0C78" w:rsidRPr="00C276AA" w:rsidRDefault="00AE0952" w:rsidP="00BD0C78">
      <w:pPr>
        <w:rPr>
          <w:szCs w:val="22"/>
        </w:rPr>
      </w:pPr>
      <w:r>
        <w:rPr>
          <w:szCs w:val="22"/>
        </w:rPr>
        <w:t xml:space="preserve">Base case labor installation costs </w:t>
      </w:r>
      <w:r w:rsidR="007B6170">
        <w:rPr>
          <w:szCs w:val="22"/>
        </w:rPr>
        <w:t>were</w:t>
      </w:r>
      <w:r>
        <w:rPr>
          <w:szCs w:val="22"/>
        </w:rPr>
        <w:t xml:space="preserve"> estimate</w:t>
      </w:r>
      <w:r w:rsidR="007B6170">
        <w:rPr>
          <w:szCs w:val="22"/>
        </w:rPr>
        <w:t>d</w:t>
      </w:r>
      <w:r>
        <w:rPr>
          <w:szCs w:val="22"/>
        </w:rPr>
        <w:t xml:space="preserve"> from a </w:t>
      </w:r>
      <w:r w:rsidR="00A373DC">
        <w:t>Portfolio of the Future (</w:t>
      </w:r>
      <w:proofErr w:type="spellStart"/>
      <w:r w:rsidR="00A373DC">
        <w:t>PoF</w:t>
      </w:r>
      <w:proofErr w:type="spellEnd"/>
      <w:r w:rsidR="00A373DC">
        <w:t xml:space="preserve">) test pilot project </w:t>
      </w:r>
      <w:r w:rsidR="007B6170">
        <w:t>conducted</w:t>
      </w:r>
      <w:r w:rsidR="00A373DC">
        <w:t xml:space="preserve"> by </w:t>
      </w:r>
      <w:r w:rsidR="00A373DC" w:rsidRPr="00287ECA">
        <w:rPr>
          <w:szCs w:val="22"/>
        </w:rPr>
        <w:t>Navigant Consulting, Inc</w:t>
      </w:r>
      <w:r w:rsidR="007B6170">
        <w:t>.</w:t>
      </w:r>
      <w:r w:rsidR="007B6170">
        <w:rPr>
          <w:rStyle w:val="FootnoteReference"/>
        </w:rPr>
        <w:footnoteReference w:id="14"/>
      </w:r>
      <w:r w:rsidR="007B6170">
        <w:t xml:space="preserve"> </w:t>
      </w:r>
    </w:p>
    <w:p w14:paraId="48E11467" w14:textId="421F19E2" w:rsidR="00BD0C78" w:rsidRPr="00BD0C78" w:rsidRDefault="00BD0C78" w:rsidP="00931868">
      <w:pPr>
        <w:pStyle w:val="Caption"/>
      </w:pPr>
      <w:r w:rsidRPr="00BD0C78">
        <w:t xml:space="preserve">Base Cost </w:t>
      </w:r>
      <w:r w:rsidR="00C276AA">
        <w:t xml:space="preserve">Labor </w:t>
      </w:r>
      <w:r w:rsidR="007B6170">
        <w:t>Cost Inputs (10-ton unit)</w:t>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1440"/>
        <w:gridCol w:w="1440"/>
      </w:tblGrid>
      <w:tr w:rsidR="00BD0C78" w:rsidRPr="007B6170" w14:paraId="689C4B5A" w14:textId="77777777" w:rsidTr="00B143A6">
        <w:trPr>
          <w:trHeight w:val="288"/>
        </w:trPr>
        <w:tc>
          <w:tcPr>
            <w:tcW w:w="4320" w:type="dxa"/>
            <w:shd w:val="clear" w:color="auto" w:fill="F2F2F2" w:themeFill="background1" w:themeFillShade="F2"/>
            <w:vAlign w:val="center"/>
            <w:hideMark/>
          </w:tcPr>
          <w:p w14:paraId="2B7828F4" w14:textId="77777777" w:rsidR="00BD0C78" w:rsidRPr="00B143A6" w:rsidRDefault="00BD0C78" w:rsidP="00BD0C78">
            <w:pPr>
              <w:spacing w:before="0" w:after="0" w:line="240" w:lineRule="auto"/>
              <w:rPr>
                <w:rFonts w:eastAsia="Times New Roman" w:cs="Calibri Light"/>
                <w:b/>
                <w:bCs/>
                <w:sz w:val="20"/>
                <w:szCs w:val="20"/>
              </w:rPr>
            </w:pPr>
            <w:r w:rsidRPr="00B143A6">
              <w:rPr>
                <w:rFonts w:eastAsia="Times New Roman" w:cs="Calibri Light"/>
                <w:b/>
                <w:bCs/>
                <w:sz w:val="20"/>
                <w:szCs w:val="20"/>
              </w:rPr>
              <w:t> </w:t>
            </w:r>
          </w:p>
        </w:tc>
        <w:tc>
          <w:tcPr>
            <w:tcW w:w="1440" w:type="dxa"/>
            <w:shd w:val="clear" w:color="auto" w:fill="F2F2F2" w:themeFill="background1" w:themeFillShade="F2"/>
            <w:vAlign w:val="center"/>
            <w:hideMark/>
          </w:tcPr>
          <w:p w14:paraId="3BC7D256" w14:textId="6EB37520" w:rsidR="00BD0C78" w:rsidRPr="00B143A6" w:rsidRDefault="007B6170" w:rsidP="00B143A6">
            <w:pPr>
              <w:spacing w:before="0" w:after="0" w:line="240" w:lineRule="auto"/>
              <w:jc w:val="center"/>
              <w:rPr>
                <w:rFonts w:eastAsia="Times New Roman" w:cs="Calibri Light"/>
                <w:b/>
                <w:bCs/>
                <w:sz w:val="20"/>
                <w:szCs w:val="20"/>
              </w:rPr>
            </w:pPr>
            <w:r w:rsidRPr="00B143A6">
              <w:rPr>
                <w:rFonts w:eastAsia="Times New Roman" w:cs="Calibri Light"/>
                <w:b/>
                <w:bCs/>
                <w:sz w:val="20"/>
                <w:szCs w:val="20"/>
              </w:rPr>
              <w:t xml:space="preserve">Cost </w:t>
            </w:r>
            <w:r w:rsidR="00BD0C78" w:rsidRPr="00B143A6">
              <w:rPr>
                <w:rFonts w:eastAsia="Times New Roman" w:cs="Calibri Light"/>
                <w:b/>
                <w:bCs/>
                <w:sz w:val="20"/>
                <w:szCs w:val="20"/>
              </w:rPr>
              <w:t xml:space="preserve">per </w:t>
            </w:r>
            <w:r w:rsidRPr="00B143A6">
              <w:rPr>
                <w:rFonts w:eastAsia="Times New Roman" w:cs="Calibri Light"/>
                <w:b/>
                <w:bCs/>
                <w:sz w:val="20"/>
                <w:szCs w:val="20"/>
              </w:rPr>
              <w:t>U</w:t>
            </w:r>
            <w:r w:rsidR="00BD0C78" w:rsidRPr="00B143A6">
              <w:rPr>
                <w:rFonts w:eastAsia="Times New Roman" w:cs="Calibri Light"/>
                <w:b/>
                <w:bCs/>
                <w:sz w:val="20"/>
                <w:szCs w:val="20"/>
              </w:rPr>
              <w:t>nit</w:t>
            </w:r>
            <w:r w:rsidRPr="00B143A6">
              <w:rPr>
                <w:rFonts w:eastAsia="Times New Roman" w:cs="Calibri Light"/>
                <w:b/>
                <w:bCs/>
                <w:sz w:val="20"/>
                <w:szCs w:val="20"/>
              </w:rPr>
              <w:t xml:space="preserve"> ($/unit)</w:t>
            </w:r>
          </w:p>
        </w:tc>
        <w:tc>
          <w:tcPr>
            <w:tcW w:w="1440" w:type="dxa"/>
            <w:shd w:val="clear" w:color="auto" w:fill="F2F2F2" w:themeFill="background1" w:themeFillShade="F2"/>
            <w:vAlign w:val="center"/>
            <w:hideMark/>
          </w:tcPr>
          <w:p w14:paraId="7BDD01D5" w14:textId="75A1500C" w:rsidR="00BD0C78" w:rsidRPr="00B143A6" w:rsidRDefault="007B6170" w:rsidP="00B143A6">
            <w:pPr>
              <w:spacing w:before="0" w:after="0" w:line="240" w:lineRule="auto"/>
              <w:jc w:val="center"/>
              <w:rPr>
                <w:rFonts w:eastAsia="Times New Roman" w:cs="Calibri Light"/>
                <w:b/>
                <w:bCs/>
                <w:sz w:val="20"/>
                <w:szCs w:val="20"/>
              </w:rPr>
            </w:pPr>
            <w:r w:rsidRPr="00B143A6">
              <w:rPr>
                <w:rFonts w:eastAsia="Times New Roman" w:cs="Calibri Light"/>
                <w:b/>
                <w:bCs/>
                <w:sz w:val="20"/>
                <w:szCs w:val="20"/>
              </w:rPr>
              <w:t>Cost per Ton ($/</w:t>
            </w:r>
            <w:r w:rsidR="00BD0C78" w:rsidRPr="00B143A6">
              <w:rPr>
                <w:rFonts w:eastAsia="Times New Roman" w:cs="Calibri Light"/>
                <w:b/>
                <w:bCs/>
                <w:sz w:val="20"/>
                <w:szCs w:val="20"/>
              </w:rPr>
              <w:t>ton</w:t>
            </w:r>
            <w:r w:rsidRPr="00B143A6">
              <w:rPr>
                <w:rFonts w:eastAsia="Times New Roman" w:cs="Calibri Light"/>
                <w:b/>
                <w:bCs/>
                <w:sz w:val="20"/>
                <w:szCs w:val="20"/>
              </w:rPr>
              <w:t>)</w:t>
            </w:r>
          </w:p>
        </w:tc>
      </w:tr>
      <w:tr w:rsidR="00BD0C78" w:rsidRPr="007B6170" w14:paraId="71687020" w14:textId="77777777" w:rsidTr="00B143A6">
        <w:trPr>
          <w:trHeight w:val="288"/>
        </w:trPr>
        <w:tc>
          <w:tcPr>
            <w:tcW w:w="4320" w:type="dxa"/>
            <w:shd w:val="clear" w:color="auto" w:fill="auto"/>
            <w:vAlign w:val="center"/>
            <w:hideMark/>
          </w:tcPr>
          <w:p w14:paraId="735B8B07" w14:textId="4888CD47" w:rsidR="00BD0C78" w:rsidRPr="00B143A6" w:rsidRDefault="00BD0C78" w:rsidP="00BD0C78">
            <w:pPr>
              <w:spacing w:before="0" w:after="0" w:line="240" w:lineRule="auto"/>
              <w:rPr>
                <w:rFonts w:eastAsia="Times New Roman" w:cs="Calibri Light"/>
                <w:sz w:val="20"/>
                <w:szCs w:val="20"/>
              </w:rPr>
            </w:pPr>
            <w:r w:rsidRPr="00B143A6">
              <w:rPr>
                <w:rFonts w:eastAsia="Times New Roman" w:cs="Calibri Light"/>
                <w:sz w:val="20"/>
                <w:szCs w:val="20"/>
              </w:rPr>
              <w:t>Rigging/placing/reconnecting power/etc.</w:t>
            </w:r>
          </w:p>
        </w:tc>
        <w:tc>
          <w:tcPr>
            <w:tcW w:w="1440" w:type="dxa"/>
            <w:shd w:val="clear" w:color="auto" w:fill="auto"/>
            <w:vAlign w:val="center"/>
            <w:hideMark/>
          </w:tcPr>
          <w:p w14:paraId="19F1902B" w14:textId="77777777" w:rsidR="00BD0C78" w:rsidRPr="00B143A6" w:rsidRDefault="00BD0C78" w:rsidP="00B143A6">
            <w:pPr>
              <w:spacing w:before="0" w:after="0" w:line="240" w:lineRule="auto"/>
              <w:jc w:val="right"/>
              <w:rPr>
                <w:rFonts w:eastAsia="Times New Roman" w:cs="Calibri Light"/>
                <w:sz w:val="20"/>
                <w:szCs w:val="20"/>
              </w:rPr>
            </w:pPr>
            <w:r w:rsidRPr="00B143A6">
              <w:rPr>
                <w:rFonts w:eastAsia="Times New Roman" w:cs="Calibri Light"/>
                <w:sz w:val="20"/>
                <w:szCs w:val="20"/>
              </w:rPr>
              <w:t xml:space="preserve">$5,700 </w:t>
            </w:r>
          </w:p>
        </w:tc>
        <w:tc>
          <w:tcPr>
            <w:tcW w:w="1440" w:type="dxa"/>
            <w:shd w:val="clear" w:color="auto" w:fill="auto"/>
            <w:vAlign w:val="center"/>
            <w:hideMark/>
          </w:tcPr>
          <w:p w14:paraId="63348894" w14:textId="77777777" w:rsidR="00BD0C78" w:rsidRPr="00B143A6" w:rsidRDefault="00BD0C78" w:rsidP="00B143A6">
            <w:pPr>
              <w:spacing w:before="0" w:after="0" w:line="240" w:lineRule="auto"/>
              <w:jc w:val="right"/>
              <w:rPr>
                <w:rFonts w:eastAsia="Times New Roman" w:cs="Calibri Light"/>
                <w:sz w:val="20"/>
                <w:szCs w:val="20"/>
              </w:rPr>
            </w:pPr>
            <w:r w:rsidRPr="00B143A6">
              <w:rPr>
                <w:rFonts w:eastAsia="Times New Roman" w:cs="Calibri Light"/>
                <w:sz w:val="20"/>
                <w:szCs w:val="20"/>
              </w:rPr>
              <w:t xml:space="preserve">$570 </w:t>
            </w:r>
          </w:p>
        </w:tc>
      </w:tr>
      <w:tr w:rsidR="00BD0C78" w:rsidRPr="007B6170" w14:paraId="210B16B7" w14:textId="77777777" w:rsidTr="00B143A6">
        <w:trPr>
          <w:trHeight w:val="288"/>
        </w:trPr>
        <w:tc>
          <w:tcPr>
            <w:tcW w:w="4320" w:type="dxa"/>
            <w:shd w:val="clear" w:color="auto" w:fill="auto"/>
            <w:vAlign w:val="center"/>
            <w:hideMark/>
          </w:tcPr>
          <w:p w14:paraId="4EA27E13" w14:textId="5376881C" w:rsidR="00BD0C78" w:rsidRPr="00B143A6" w:rsidRDefault="007B6170" w:rsidP="00BD0C78">
            <w:pPr>
              <w:spacing w:before="0" w:after="0" w:line="240" w:lineRule="auto"/>
              <w:rPr>
                <w:rFonts w:eastAsia="Times New Roman" w:cs="Calibri Light"/>
                <w:sz w:val="20"/>
                <w:szCs w:val="20"/>
              </w:rPr>
            </w:pPr>
            <w:r w:rsidRPr="00B143A6">
              <w:rPr>
                <w:rFonts w:eastAsia="Times New Roman" w:cs="Calibri Light"/>
                <w:sz w:val="20"/>
                <w:szCs w:val="20"/>
              </w:rPr>
              <w:t>A</w:t>
            </w:r>
            <w:r w:rsidR="00BD0C78" w:rsidRPr="00B143A6">
              <w:rPr>
                <w:rFonts w:eastAsia="Times New Roman" w:cs="Calibri Light"/>
                <w:sz w:val="20"/>
                <w:szCs w:val="20"/>
              </w:rPr>
              <w:t>dditional plumbing labor</w:t>
            </w:r>
          </w:p>
        </w:tc>
        <w:tc>
          <w:tcPr>
            <w:tcW w:w="1440" w:type="dxa"/>
            <w:shd w:val="clear" w:color="auto" w:fill="auto"/>
            <w:vAlign w:val="center"/>
          </w:tcPr>
          <w:p w14:paraId="4ACB81E2" w14:textId="05508AF1" w:rsidR="00BD0C78" w:rsidRPr="00B143A6" w:rsidRDefault="007B6170" w:rsidP="00B143A6">
            <w:pPr>
              <w:spacing w:before="0" w:after="0" w:line="240" w:lineRule="auto"/>
              <w:jc w:val="right"/>
              <w:rPr>
                <w:rFonts w:eastAsia="Times New Roman" w:cs="Calibri Light"/>
                <w:sz w:val="20"/>
                <w:szCs w:val="20"/>
              </w:rPr>
            </w:pPr>
            <w:r w:rsidRPr="00B143A6">
              <w:rPr>
                <w:rFonts w:eastAsia="Times New Roman" w:cs="Calibri Light"/>
                <w:sz w:val="20"/>
                <w:szCs w:val="20"/>
              </w:rPr>
              <w:t>n/a</w:t>
            </w:r>
          </w:p>
        </w:tc>
        <w:tc>
          <w:tcPr>
            <w:tcW w:w="1440" w:type="dxa"/>
            <w:shd w:val="clear" w:color="auto" w:fill="auto"/>
            <w:vAlign w:val="center"/>
          </w:tcPr>
          <w:p w14:paraId="7C4292EA" w14:textId="7DEF012F" w:rsidR="00BD0C78" w:rsidRPr="00B143A6" w:rsidRDefault="007B6170" w:rsidP="00B143A6">
            <w:pPr>
              <w:spacing w:before="0" w:after="0" w:line="240" w:lineRule="auto"/>
              <w:jc w:val="right"/>
              <w:rPr>
                <w:rFonts w:eastAsia="Times New Roman" w:cs="Calibri Light"/>
                <w:sz w:val="20"/>
                <w:szCs w:val="20"/>
              </w:rPr>
            </w:pPr>
            <w:r w:rsidRPr="00B143A6">
              <w:rPr>
                <w:rFonts w:eastAsia="Times New Roman" w:cs="Calibri Light"/>
                <w:sz w:val="20"/>
                <w:szCs w:val="20"/>
              </w:rPr>
              <w:t>n/a</w:t>
            </w:r>
          </w:p>
        </w:tc>
      </w:tr>
      <w:tr w:rsidR="00BD0C78" w:rsidRPr="007B6170" w14:paraId="19B215ED" w14:textId="77777777" w:rsidTr="00B143A6">
        <w:trPr>
          <w:trHeight w:val="288"/>
        </w:trPr>
        <w:tc>
          <w:tcPr>
            <w:tcW w:w="4320" w:type="dxa"/>
            <w:shd w:val="clear" w:color="auto" w:fill="auto"/>
            <w:vAlign w:val="center"/>
          </w:tcPr>
          <w:p w14:paraId="41734020" w14:textId="550D6CC5" w:rsidR="00BD0C78" w:rsidRPr="00947580" w:rsidRDefault="00BD0C78" w:rsidP="00BD0C78">
            <w:pPr>
              <w:spacing w:before="0" w:after="0" w:line="240" w:lineRule="auto"/>
              <w:rPr>
                <w:rFonts w:eastAsia="Times New Roman" w:cs="Calibri Light"/>
                <w:b/>
                <w:bCs/>
                <w:sz w:val="20"/>
                <w:szCs w:val="20"/>
              </w:rPr>
            </w:pPr>
            <w:r w:rsidRPr="00947580">
              <w:rPr>
                <w:rFonts w:eastAsia="Times New Roman" w:cs="Calibri Light"/>
                <w:b/>
                <w:bCs/>
                <w:sz w:val="20"/>
                <w:szCs w:val="20"/>
              </w:rPr>
              <w:t xml:space="preserve">Total </w:t>
            </w:r>
          </w:p>
        </w:tc>
        <w:tc>
          <w:tcPr>
            <w:tcW w:w="1440" w:type="dxa"/>
            <w:shd w:val="clear" w:color="auto" w:fill="auto"/>
            <w:vAlign w:val="center"/>
          </w:tcPr>
          <w:p w14:paraId="7D6FD6B3" w14:textId="77777777" w:rsidR="00BD0C78" w:rsidRPr="00B143A6" w:rsidRDefault="00BD0C78" w:rsidP="00B143A6">
            <w:pPr>
              <w:spacing w:before="0" w:after="0" w:line="240" w:lineRule="auto"/>
              <w:jc w:val="right"/>
              <w:rPr>
                <w:rFonts w:eastAsia="Times New Roman" w:cs="Calibri Light"/>
                <w:b/>
                <w:bCs/>
                <w:sz w:val="20"/>
                <w:szCs w:val="20"/>
              </w:rPr>
            </w:pPr>
            <w:r w:rsidRPr="00B143A6">
              <w:rPr>
                <w:rFonts w:eastAsia="Times New Roman" w:cs="Calibri Light"/>
                <w:b/>
                <w:bCs/>
                <w:sz w:val="20"/>
                <w:szCs w:val="20"/>
              </w:rPr>
              <w:t>$5,700</w:t>
            </w:r>
          </w:p>
        </w:tc>
        <w:tc>
          <w:tcPr>
            <w:tcW w:w="1440" w:type="dxa"/>
            <w:shd w:val="clear" w:color="auto" w:fill="auto"/>
            <w:vAlign w:val="center"/>
          </w:tcPr>
          <w:p w14:paraId="468C9161" w14:textId="77777777" w:rsidR="00BD0C78" w:rsidRPr="00B143A6" w:rsidRDefault="00BD0C78" w:rsidP="00B143A6">
            <w:pPr>
              <w:spacing w:before="0" w:after="0" w:line="240" w:lineRule="auto"/>
              <w:jc w:val="right"/>
              <w:rPr>
                <w:rFonts w:eastAsia="Times New Roman" w:cs="Calibri Light"/>
                <w:b/>
                <w:bCs/>
                <w:sz w:val="20"/>
                <w:szCs w:val="20"/>
              </w:rPr>
            </w:pPr>
            <w:r w:rsidRPr="00B143A6">
              <w:rPr>
                <w:rFonts w:eastAsia="Times New Roman" w:cs="Calibri Light"/>
                <w:b/>
                <w:bCs/>
                <w:sz w:val="20"/>
                <w:szCs w:val="20"/>
              </w:rPr>
              <w:t>$570</w:t>
            </w:r>
          </w:p>
        </w:tc>
      </w:tr>
    </w:tbl>
    <w:p w14:paraId="0CB762B3" w14:textId="77777777" w:rsidR="002E5874" w:rsidRPr="002E5874" w:rsidRDefault="002E5874" w:rsidP="002E5874"/>
    <w:p w14:paraId="5E89BC5E" w14:textId="22B628A3" w:rsidR="002E5874" w:rsidRPr="004B06E3" w:rsidRDefault="002E5874" w:rsidP="006B4A4F">
      <w:pPr>
        <w:pStyle w:val="eTRMHeading3"/>
      </w:pPr>
      <w:bookmarkStart w:id="59" w:name="_Toc24552029"/>
      <w:r>
        <w:t xml:space="preserve">Measure Case </w:t>
      </w:r>
      <w:r w:rsidRPr="004B06E3">
        <w:t>Labor Cost ($/unit)</w:t>
      </w:r>
      <w:bookmarkEnd w:id="59"/>
    </w:p>
    <w:p w14:paraId="2A4382B6" w14:textId="50066E8F" w:rsidR="00C276AA" w:rsidRPr="00C276AA" w:rsidRDefault="00AE0952" w:rsidP="00C276AA">
      <w:bookmarkStart w:id="60" w:name="_Hlk23420687"/>
      <w:r w:rsidRPr="00AE0952">
        <w:t>Measure case</w:t>
      </w:r>
      <w:r>
        <w:t xml:space="preserve"> labor</w:t>
      </w:r>
      <w:r w:rsidRPr="00AE0952">
        <w:t xml:space="preserve"> costs for this measure are estimates that represent an average customer installation obtained from </w:t>
      </w:r>
      <w:r w:rsidR="00A373DC" w:rsidRPr="00A373DC">
        <w:t>Portfolio of the Future (</w:t>
      </w:r>
      <w:proofErr w:type="spellStart"/>
      <w:r w:rsidR="00A373DC" w:rsidRPr="00A373DC">
        <w:t>PoF</w:t>
      </w:r>
      <w:proofErr w:type="spellEnd"/>
      <w:r w:rsidR="00A373DC" w:rsidRPr="00A373DC">
        <w:t>) test pilot project administer by Navigant Consulting, Inc.</w:t>
      </w:r>
      <w:r w:rsidRPr="00AE0952">
        <w:t xml:space="preserve"> in addition to manufacturer/contractor discussio</w:t>
      </w:r>
      <w:r>
        <w:t>ns.</w:t>
      </w:r>
      <w:r w:rsidR="009A3A85">
        <w:rPr>
          <w:rStyle w:val="FootnoteReference"/>
        </w:rPr>
        <w:footnoteReference w:id="15"/>
      </w:r>
      <w:r w:rsidR="009A3A85">
        <w:t xml:space="preserve"> </w:t>
      </w:r>
      <w:r w:rsidRPr="00AE0952">
        <w:t>The actual measure case</w:t>
      </w:r>
      <w:r>
        <w:t xml:space="preserve"> labor</w:t>
      </w:r>
      <w:r w:rsidRPr="00AE0952">
        <w:t xml:space="preserve"> costs may vary </w:t>
      </w:r>
      <w:r w:rsidRPr="00AE0952">
        <w:lastRenderedPageBreak/>
        <w:t xml:space="preserve">depending on the distance between the water heater and the rooftop unit (RTU), various local labor rates, and the variations in markups and material costs. </w:t>
      </w:r>
    </w:p>
    <w:p w14:paraId="6D604B74" w14:textId="6E7C0B23" w:rsidR="00C276AA" w:rsidRDefault="00C276AA" w:rsidP="00931868">
      <w:pPr>
        <w:pStyle w:val="Caption"/>
      </w:pPr>
      <w:r w:rsidRPr="00C276AA">
        <w:t>Measure Case</w:t>
      </w:r>
      <w:r>
        <w:t xml:space="preserve"> Labor</w:t>
      </w:r>
      <w:r w:rsidRPr="00C276AA">
        <w:t xml:space="preserve"> Cost </w:t>
      </w:r>
      <w:r w:rsidR="009A3A85">
        <w:t>Inputs</w:t>
      </w:r>
      <w:r w:rsidR="00674D41">
        <w:t xml:space="preserve"> (10-ton Unit)</w:t>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1440"/>
        <w:gridCol w:w="1440"/>
      </w:tblGrid>
      <w:tr w:rsidR="009A3A85" w:rsidRPr="009A3A85" w14:paraId="4A967EA3" w14:textId="77777777" w:rsidTr="005306AE">
        <w:trPr>
          <w:trHeight w:val="288"/>
          <w:tblHeader/>
        </w:trPr>
        <w:tc>
          <w:tcPr>
            <w:tcW w:w="4320" w:type="dxa"/>
            <w:shd w:val="clear" w:color="auto" w:fill="F2F2F2" w:themeFill="background1" w:themeFillShade="F2"/>
            <w:vAlign w:val="center"/>
            <w:hideMark/>
          </w:tcPr>
          <w:p w14:paraId="3DE15484" w14:textId="77777777" w:rsidR="009A3A85" w:rsidRPr="009A3A85" w:rsidRDefault="009A3A85" w:rsidP="006B4A4F">
            <w:pPr>
              <w:spacing w:before="0" w:after="0" w:line="240" w:lineRule="auto"/>
              <w:rPr>
                <w:rFonts w:eastAsia="Times New Roman" w:cs="Calibri Light"/>
                <w:b/>
                <w:bCs/>
                <w:sz w:val="20"/>
                <w:szCs w:val="20"/>
              </w:rPr>
            </w:pPr>
            <w:r w:rsidRPr="009A3A85">
              <w:rPr>
                <w:rFonts w:eastAsia="Times New Roman" w:cs="Calibri Light"/>
                <w:b/>
                <w:bCs/>
                <w:sz w:val="20"/>
                <w:szCs w:val="20"/>
              </w:rPr>
              <w:t> </w:t>
            </w:r>
          </w:p>
        </w:tc>
        <w:tc>
          <w:tcPr>
            <w:tcW w:w="1440" w:type="dxa"/>
            <w:shd w:val="clear" w:color="auto" w:fill="F2F2F2" w:themeFill="background1" w:themeFillShade="F2"/>
            <w:vAlign w:val="center"/>
            <w:hideMark/>
          </w:tcPr>
          <w:p w14:paraId="08742C64" w14:textId="77777777" w:rsidR="009A3A85" w:rsidRPr="009A3A85" w:rsidRDefault="009A3A85" w:rsidP="006B4A4F">
            <w:pPr>
              <w:spacing w:before="0" w:after="0" w:line="240" w:lineRule="auto"/>
              <w:jc w:val="center"/>
              <w:rPr>
                <w:rFonts w:eastAsia="Times New Roman" w:cs="Calibri Light"/>
                <w:b/>
                <w:bCs/>
                <w:sz w:val="20"/>
                <w:szCs w:val="20"/>
              </w:rPr>
            </w:pPr>
            <w:r w:rsidRPr="009A3A85">
              <w:rPr>
                <w:rFonts w:eastAsia="Times New Roman" w:cs="Calibri Light"/>
                <w:b/>
                <w:bCs/>
                <w:sz w:val="20"/>
                <w:szCs w:val="20"/>
              </w:rPr>
              <w:t>Cost per Unit ($/unit)</w:t>
            </w:r>
          </w:p>
        </w:tc>
        <w:tc>
          <w:tcPr>
            <w:tcW w:w="1440" w:type="dxa"/>
            <w:shd w:val="clear" w:color="auto" w:fill="F2F2F2" w:themeFill="background1" w:themeFillShade="F2"/>
            <w:vAlign w:val="center"/>
            <w:hideMark/>
          </w:tcPr>
          <w:p w14:paraId="6BD7A309" w14:textId="77777777" w:rsidR="009A3A85" w:rsidRPr="009A3A85" w:rsidRDefault="009A3A85" w:rsidP="006B4A4F">
            <w:pPr>
              <w:spacing w:before="0" w:after="0" w:line="240" w:lineRule="auto"/>
              <w:jc w:val="center"/>
              <w:rPr>
                <w:rFonts w:eastAsia="Times New Roman" w:cs="Calibri Light"/>
                <w:b/>
                <w:bCs/>
                <w:sz w:val="20"/>
                <w:szCs w:val="20"/>
              </w:rPr>
            </w:pPr>
            <w:r w:rsidRPr="009A3A85">
              <w:rPr>
                <w:rFonts w:eastAsia="Times New Roman" w:cs="Calibri Light"/>
                <w:b/>
                <w:bCs/>
                <w:sz w:val="20"/>
                <w:szCs w:val="20"/>
              </w:rPr>
              <w:t>Cost per Ton ($/ton)</w:t>
            </w:r>
          </w:p>
        </w:tc>
      </w:tr>
      <w:tr w:rsidR="009A3A85" w:rsidRPr="009A3A85" w14:paraId="0464AC24" w14:textId="77777777" w:rsidTr="00947580">
        <w:trPr>
          <w:trHeight w:val="288"/>
        </w:trPr>
        <w:tc>
          <w:tcPr>
            <w:tcW w:w="4320" w:type="dxa"/>
            <w:shd w:val="clear" w:color="auto" w:fill="auto"/>
            <w:vAlign w:val="center"/>
          </w:tcPr>
          <w:p w14:paraId="0A85227D" w14:textId="157E46C7" w:rsidR="009A3A85" w:rsidRPr="009A3A85" w:rsidRDefault="009A3A85" w:rsidP="009A3A85">
            <w:pPr>
              <w:spacing w:before="0" w:after="0" w:line="240" w:lineRule="auto"/>
              <w:rPr>
                <w:rFonts w:eastAsia="Times New Roman" w:cs="Calibri Light"/>
                <w:sz w:val="20"/>
                <w:szCs w:val="20"/>
              </w:rPr>
            </w:pPr>
            <w:r w:rsidRPr="00947580">
              <w:rPr>
                <w:rFonts w:eastAsia="Times New Roman" w:cs="Calibri Light"/>
                <w:sz w:val="20"/>
                <w:szCs w:val="20"/>
              </w:rPr>
              <w:t>Materials – piping, other misc. (incl. labor)</w:t>
            </w:r>
          </w:p>
        </w:tc>
        <w:tc>
          <w:tcPr>
            <w:tcW w:w="1440" w:type="dxa"/>
            <w:shd w:val="clear" w:color="auto" w:fill="auto"/>
            <w:vAlign w:val="center"/>
          </w:tcPr>
          <w:p w14:paraId="3088BEC6" w14:textId="639079A9" w:rsidR="009A3A85" w:rsidRPr="009A3A85" w:rsidRDefault="009A3A85" w:rsidP="009A3A85">
            <w:pPr>
              <w:spacing w:before="0" w:after="0" w:line="240" w:lineRule="auto"/>
              <w:jc w:val="right"/>
              <w:rPr>
                <w:rFonts w:eastAsia="Times New Roman" w:cs="Calibri Light"/>
                <w:sz w:val="20"/>
                <w:szCs w:val="20"/>
              </w:rPr>
            </w:pPr>
            <w:r w:rsidRPr="00947580">
              <w:rPr>
                <w:rFonts w:eastAsia="Times New Roman" w:cs="Calibri Light"/>
                <w:sz w:val="20"/>
                <w:szCs w:val="20"/>
              </w:rPr>
              <w:t xml:space="preserve">$2,500 </w:t>
            </w:r>
          </w:p>
        </w:tc>
        <w:tc>
          <w:tcPr>
            <w:tcW w:w="1440" w:type="dxa"/>
            <w:shd w:val="clear" w:color="auto" w:fill="auto"/>
            <w:vAlign w:val="center"/>
          </w:tcPr>
          <w:p w14:paraId="090B6F99" w14:textId="38984527" w:rsidR="009A3A85" w:rsidRPr="009A3A85" w:rsidRDefault="009A3A85" w:rsidP="009A3A85">
            <w:pPr>
              <w:spacing w:before="0" w:after="0" w:line="240" w:lineRule="auto"/>
              <w:jc w:val="right"/>
              <w:rPr>
                <w:rFonts w:eastAsia="Times New Roman" w:cs="Calibri Light"/>
                <w:sz w:val="20"/>
                <w:szCs w:val="20"/>
              </w:rPr>
            </w:pPr>
            <w:r w:rsidRPr="00947580">
              <w:rPr>
                <w:rFonts w:eastAsia="Times New Roman" w:cs="Calibri Light"/>
                <w:sz w:val="20"/>
                <w:szCs w:val="20"/>
              </w:rPr>
              <w:t xml:space="preserve">$250 </w:t>
            </w:r>
          </w:p>
        </w:tc>
      </w:tr>
      <w:tr w:rsidR="009A3A85" w:rsidRPr="009A3A85" w14:paraId="6664C18F" w14:textId="77777777" w:rsidTr="00947580">
        <w:trPr>
          <w:trHeight w:val="288"/>
        </w:trPr>
        <w:tc>
          <w:tcPr>
            <w:tcW w:w="4320" w:type="dxa"/>
            <w:shd w:val="clear" w:color="auto" w:fill="auto"/>
            <w:vAlign w:val="center"/>
          </w:tcPr>
          <w:p w14:paraId="1FA534AA" w14:textId="282E59C5" w:rsidR="009A3A85" w:rsidRPr="009A3A85" w:rsidRDefault="009A3A85" w:rsidP="009A3A85">
            <w:pPr>
              <w:spacing w:before="0" w:after="0" w:line="240" w:lineRule="auto"/>
              <w:rPr>
                <w:rFonts w:eastAsia="Times New Roman" w:cs="Calibri Light"/>
                <w:sz w:val="20"/>
                <w:szCs w:val="20"/>
              </w:rPr>
            </w:pPr>
            <w:r w:rsidRPr="00947580">
              <w:rPr>
                <w:rFonts w:eastAsia="Times New Roman" w:cs="Calibri Light"/>
                <w:sz w:val="20"/>
                <w:szCs w:val="20"/>
              </w:rPr>
              <w:t>Rigging/placing/reconnecting power/etc.</w:t>
            </w:r>
          </w:p>
        </w:tc>
        <w:tc>
          <w:tcPr>
            <w:tcW w:w="1440" w:type="dxa"/>
            <w:shd w:val="clear" w:color="auto" w:fill="auto"/>
            <w:vAlign w:val="center"/>
          </w:tcPr>
          <w:p w14:paraId="1FE21236" w14:textId="7864645B" w:rsidR="009A3A85" w:rsidRPr="009A3A85" w:rsidRDefault="009A3A85" w:rsidP="009A3A85">
            <w:pPr>
              <w:spacing w:before="0" w:after="0" w:line="240" w:lineRule="auto"/>
              <w:jc w:val="right"/>
              <w:rPr>
                <w:rFonts w:eastAsia="Times New Roman" w:cs="Calibri Light"/>
                <w:sz w:val="20"/>
                <w:szCs w:val="20"/>
              </w:rPr>
            </w:pPr>
            <w:r w:rsidRPr="00947580">
              <w:rPr>
                <w:rFonts w:eastAsia="Times New Roman" w:cs="Calibri Light"/>
                <w:sz w:val="20"/>
                <w:szCs w:val="20"/>
              </w:rPr>
              <w:t xml:space="preserve">$5,700 </w:t>
            </w:r>
          </w:p>
        </w:tc>
        <w:tc>
          <w:tcPr>
            <w:tcW w:w="1440" w:type="dxa"/>
            <w:shd w:val="clear" w:color="auto" w:fill="auto"/>
            <w:vAlign w:val="center"/>
          </w:tcPr>
          <w:p w14:paraId="3EE15ACA" w14:textId="3E6AF9BC" w:rsidR="009A3A85" w:rsidRPr="009A3A85" w:rsidRDefault="009A3A85" w:rsidP="009A3A85">
            <w:pPr>
              <w:spacing w:before="0" w:after="0" w:line="240" w:lineRule="auto"/>
              <w:jc w:val="right"/>
              <w:rPr>
                <w:rFonts w:eastAsia="Times New Roman" w:cs="Calibri Light"/>
                <w:sz w:val="20"/>
                <w:szCs w:val="20"/>
              </w:rPr>
            </w:pPr>
            <w:r w:rsidRPr="00947580">
              <w:rPr>
                <w:rFonts w:eastAsia="Times New Roman" w:cs="Calibri Light"/>
                <w:sz w:val="20"/>
                <w:szCs w:val="20"/>
              </w:rPr>
              <w:t xml:space="preserve">$570 </w:t>
            </w:r>
          </w:p>
        </w:tc>
      </w:tr>
      <w:tr w:rsidR="009A3A85" w:rsidRPr="009A3A85" w14:paraId="585B2F0A" w14:textId="77777777" w:rsidTr="006B4A4F">
        <w:trPr>
          <w:trHeight w:val="288"/>
        </w:trPr>
        <w:tc>
          <w:tcPr>
            <w:tcW w:w="4320" w:type="dxa"/>
            <w:shd w:val="clear" w:color="auto" w:fill="auto"/>
            <w:vAlign w:val="center"/>
          </w:tcPr>
          <w:p w14:paraId="7C015E69" w14:textId="5B8E90A1" w:rsidR="009A3A85" w:rsidRPr="009A3A85" w:rsidRDefault="009A3A85" w:rsidP="009A3A85">
            <w:pPr>
              <w:spacing w:before="0" w:after="0" w:line="240" w:lineRule="auto"/>
              <w:rPr>
                <w:rFonts w:eastAsia="Times New Roman" w:cs="Calibri Light"/>
                <w:sz w:val="20"/>
                <w:szCs w:val="20"/>
              </w:rPr>
            </w:pPr>
            <w:r>
              <w:rPr>
                <w:rFonts w:eastAsia="Times New Roman" w:cs="Calibri Light"/>
                <w:sz w:val="20"/>
                <w:szCs w:val="20"/>
              </w:rPr>
              <w:t>Additional</w:t>
            </w:r>
            <w:r w:rsidRPr="00947580">
              <w:rPr>
                <w:rFonts w:eastAsia="Times New Roman" w:cs="Calibri Light"/>
                <w:sz w:val="20"/>
                <w:szCs w:val="20"/>
              </w:rPr>
              <w:t xml:space="preserve"> plumbing labor</w:t>
            </w:r>
          </w:p>
        </w:tc>
        <w:tc>
          <w:tcPr>
            <w:tcW w:w="1440" w:type="dxa"/>
            <w:shd w:val="clear" w:color="auto" w:fill="auto"/>
            <w:vAlign w:val="center"/>
          </w:tcPr>
          <w:p w14:paraId="5B8FDD2D" w14:textId="516DCDDF" w:rsidR="009A3A85" w:rsidRPr="009A3A85" w:rsidRDefault="009A3A85" w:rsidP="009A3A85">
            <w:pPr>
              <w:spacing w:before="0" w:after="0" w:line="240" w:lineRule="auto"/>
              <w:jc w:val="right"/>
              <w:rPr>
                <w:rFonts w:eastAsia="Times New Roman" w:cs="Calibri Light"/>
                <w:sz w:val="20"/>
                <w:szCs w:val="20"/>
              </w:rPr>
            </w:pPr>
            <w:r w:rsidRPr="00947580">
              <w:rPr>
                <w:rFonts w:eastAsia="Times New Roman" w:cs="Calibri Light"/>
                <w:sz w:val="20"/>
                <w:szCs w:val="20"/>
              </w:rPr>
              <w:t>See above</w:t>
            </w:r>
          </w:p>
        </w:tc>
        <w:tc>
          <w:tcPr>
            <w:tcW w:w="1440" w:type="dxa"/>
            <w:shd w:val="clear" w:color="auto" w:fill="auto"/>
            <w:vAlign w:val="center"/>
          </w:tcPr>
          <w:p w14:paraId="3924EB14" w14:textId="7C7FBE99" w:rsidR="009A3A85" w:rsidRPr="009A3A85" w:rsidRDefault="009A3A85" w:rsidP="009A3A85">
            <w:pPr>
              <w:spacing w:before="0" w:after="0" w:line="240" w:lineRule="auto"/>
              <w:jc w:val="right"/>
              <w:rPr>
                <w:rFonts w:eastAsia="Times New Roman" w:cs="Calibri Light"/>
                <w:sz w:val="20"/>
                <w:szCs w:val="20"/>
              </w:rPr>
            </w:pPr>
            <w:r w:rsidRPr="00947580">
              <w:rPr>
                <w:rFonts w:eastAsia="Times New Roman" w:cs="Calibri Light"/>
                <w:sz w:val="20"/>
                <w:szCs w:val="20"/>
              </w:rPr>
              <w:t>See above</w:t>
            </w:r>
          </w:p>
        </w:tc>
      </w:tr>
      <w:tr w:rsidR="009A3A85" w:rsidRPr="009A3A85" w14:paraId="7B21391C" w14:textId="77777777" w:rsidTr="006B4A4F">
        <w:trPr>
          <w:trHeight w:val="288"/>
        </w:trPr>
        <w:tc>
          <w:tcPr>
            <w:tcW w:w="4320" w:type="dxa"/>
            <w:shd w:val="clear" w:color="auto" w:fill="auto"/>
            <w:vAlign w:val="center"/>
          </w:tcPr>
          <w:p w14:paraId="42628468" w14:textId="1BB0B1F2" w:rsidR="009A3A85" w:rsidRPr="009A3A85" w:rsidRDefault="009A3A85" w:rsidP="009A3A85">
            <w:pPr>
              <w:spacing w:before="0" w:after="0" w:line="240" w:lineRule="auto"/>
              <w:rPr>
                <w:rFonts w:eastAsia="Times New Roman" w:cs="Calibri Light"/>
                <w:b/>
                <w:bCs/>
                <w:sz w:val="20"/>
                <w:szCs w:val="20"/>
              </w:rPr>
            </w:pPr>
            <w:r w:rsidRPr="00947580">
              <w:rPr>
                <w:rFonts w:eastAsia="Times New Roman" w:cs="Calibri Light"/>
                <w:b/>
                <w:bCs/>
                <w:sz w:val="20"/>
                <w:szCs w:val="20"/>
              </w:rPr>
              <w:t>Total Labor</w:t>
            </w:r>
          </w:p>
        </w:tc>
        <w:tc>
          <w:tcPr>
            <w:tcW w:w="1440" w:type="dxa"/>
            <w:shd w:val="clear" w:color="auto" w:fill="auto"/>
            <w:vAlign w:val="center"/>
          </w:tcPr>
          <w:p w14:paraId="587E747A" w14:textId="04896D5E" w:rsidR="009A3A85" w:rsidRPr="009A3A85" w:rsidRDefault="009A3A85" w:rsidP="009A3A85">
            <w:pPr>
              <w:spacing w:before="0" w:after="0" w:line="240" w:lineRule="auto"/>
              <w:jc w:val="right"/>
              <w:rPr>
                <w:rFonts w:eastAsia="Times New Roman" w:cs="Calibri Light"/>
                <w:b/>
                <w:bCs/>
                <w:sz w:val="20"/>
                <w:szCs w:val="20"/>
              </w:rPr>
            </w:pPr>
            <w:r w:rsidRPr="00947580">
              <w:rPr>
                <w:rFonts w:eastAsia="Times New Roman" w:cs="Calibri Light"/>
                <w:b/>
                <w:bCs/>
                <w:sz w:val="20"/>
                <w:szCs w:val="20"/>
              </w:rPr>
              <w:t>$8,200</w:t>
            </w:r>
          </w:p>
        </w:tc>
        <w:tc>
          <w:tcPr>
            <w:tcW w:w="1440" w:type="dxa"/>
            <w:shd w:val="clear" w:color="auto" w:fill="auto"/>
            <w:vAlign w:val="center"/>
          </w:tcPr>
          <w:p w14:paraId="06475F57" w14:textId="479F3414" w:rsidR="009A3A85" w:rsidRPr="009A3A85" w:rsidRDefault="009A3A85" w:rsidP="009A3A85">
            <w:pPr>
              <w:spacing w:before="0" w:after="0" w:line="240" w:lineRule="auto"/>
              <w:jc w:val="right"/>
              <w:rPr>
                <w:rFonts w:eastAsia="Times New Roman" w:cs="Calibri Light"/>
                <w:b/>
                <w:bCs/>
                <w:sz w:val="20"/>
                <w:szCs w:val="20"/>
              </w:rPr>
            </w:pPr>
            <w:r w:rsidRPr="00947580">
              <w:rPr>
                <w:rFonts w:eastAsia="Times New Roman" w:cs="Calibri Light"/>
                <w:b/>
                <w:bCs/>
                <w:sz w:val="20"/>
                <w:szCs w:val="20"/>
              </w:rPr>
              <w:t>$820</w:t>
            </w:r>
          </w:p>
        </w:tc>
      </w:tr>
      <w:bookmarkEnd w:id="60"/>
    </w:tbl>
    <w:p w14:paraId="5FCE367F" w14:textId="77777777" w:rsidR="007D230B" w:rsidRPr="004B06E3" w:rsidRDefault="007D230B" w:rsidP="004142EF"/>
    <w:p w14:paraId="050D9183" w14:textId="2889C76E" w:rsidR="007D230B" w:rsidRDefault="004B06E3" w:rsidP="006B4A4F">
      <w:pPr>
        <w:pStyle w:val="eTRMHeading3"/>
      </w:pPr>
      <w:bookmarkStart w:id="61" w:name="_Toc486490863"/>
      <w:bookmarkStart w:id="62" w:name="_Toc486580934"/>
      <w:bookmarkStart w:id="63" w:name="_Toc24552030"/>
      <w:r>
        <w:t>Net-to-Gross</w:t>
      </w:r>
      <w:bookmarkEnd w:id="61"/>
      <w:bookmarkEnd w:id="62"/>
      <w:r w:rsidR="008D4652">
        <w:t xml:space="preserve"> (NTG)</w:t>
      </w:r>
      <w:bookmarkEnd w:id="63"/>
    </w:p>
    <w:p w14:paraId="709F605D" w14:textId="05C4A04F" w:rsidR="00A44209" w:rsidRDefault="00A44209" w:rsidP="00A44209">
      <w:r>
        <w:rPr>
          <w:shd w:val="clear" w:color="auto" w:fill="FFFFFF"/>
        </w:rPr>
        <w:t>The net-to-gross (NTG) ratio represents the portion of gross impacts that are determined to be directly attributed to a specific program intervention. The NTG value adopted for this measure is designated specifically for emerging technologies by the California Public Utilities Commission (CPUC).</w:t>
      </w:r>
    </w:p>
    <w:p w14:paraId="0D1CEED6" w14:textId="5E1D20F3" w:rsidR="00DE1A0F" w:rsidRPr="0059426D" w:rsidRDefault="00DE1A0F" w:rsidP="00931868">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1530"/>
        <w:gridCol w:w="6300"/>
      </w:tblGrid>
      <w:tr w:rsidR="00AA3E2A" w:rsidRPr="0059426D" w14:paraId="0D2B92AF" w14:textId="662FBAEE" w:rsidTr="00AA2841">
        <w:trPr>
          <w:cantSplit/>
          <w:trHeight w:val="20"/>
        </w:trPr>
        <w:tc>
          <w:tcPr>
            <w:tcW w:w="179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630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779BA" w:rsidRPr="0059426D" w14:paraId="682BF062" w14:textId="72E696E9" w:rsidTr="00AA2841">
        <w:trPr>
          <w:cantSplit/>
          <w:trHeight w:val="20"/>
        </w:trPr>
        <w:tc>
          <w:tcPr>
            <w:tcW w:w="1795" w:type="dxa"/>
            <w:vAlign w:val="center"/>
          </w:tcPr>
          <w:p w14:paraId="5BA6FA92" w14:textId="4EB36981" w:rsidR="00F779BA" w:rsidRPr="00177EB6" w:rsidRDefault="009E7B5D" w:rsidP="00F8464D">
            <w:pPr>
              <w:keepNext/>
              <w:keepLines/>
              <w:spacing w:before="0" w:after="0" w:line="200" w:lineRule="atLeast"/>
              <w:rPr>
                <w:rFonts w:cstheme="minorHAnsi"/>
                <w:sz w:val="20"/>
                <w:szCs w:val="20"/>
              </w:rPr>
            </w:pPr>
            <w:r>
              <w:rPr>
                <w:rFonts w:cs="Arial"/>
                <w:color w:val="000000"/>
                <w:sz w:val="20"/>
                <w:szCs w:val="20"/>
              </w:rPr>
              <w:t>ET-Default</w:t>
            </w:r>
          </w:p>
        </w:tc>
        <w:tc>
          <w:tcPr>
            <w:tcW w:w="1530" w:type="dxa"/>
            <w:shd w:val="clear" w:color="auto" w:fill="auto"/>
            <w:noWrap/>
            <w:vAlign w:val="center"/>
          </w:tcPr>
          <w:p w14:paraId="62F18FF1" w14:textId="24A5F059" w:rsidR="00F779BA" w:rsidRPr="00AA2841" w:rsidRDefault="00F779BA" w:rsidP="00F8464D">
            <w:pPr>
              <w:keepNext/>
              <w:keepLines/>
              <w:spacing w:before="0" w:after="0" w:line="200" w:lineRule="atLeast"/>
              <w:jc w:val="center"/>
              <w:rPr>
                <w:sz w:val="20"/>
                <w:szCs w:val="20"/>
              </w:rPr>
            </w:pPr>
            <w:r w:rsidRPr="00AA2841">
              <w:rPr>
                <w:sz w:val="20"/>
                <w:szCs w:val="20"/>
              </w:rPr>
              <w:t>0.</w:t>
            </w:r>
            <w:r w:rsidR="009E7B5D">
              <w:rPr>
                <w:sz w:val="20"/>
                <w:szCs w:val="20"/>
              </w:rPr>
              <w:t>85</w:t>
            </w:r>
          </w:p>
        </w:tc>
        <w:tc>
          <w:tcPr>
            <w:tcW w:w="6300" w:type="dxa"/>
            <w:vAlign w:val="center"/>
          </w:tcPr>
          <w:p w14:paraId="457CB96F" w14:textId="380840D4" w:rsidR="00A44209" w:rsidRPr="00A44209" w:rsidRDefault="00A44209" w:rsidP="00F8464D">
            <w:pPr>
              <w:rPr>
                <w:rFonts w:cs="Calibri Light"/>
                <w:color w:val="292929"/>
                <w:sz w:val="18"/>
                <w:szCs w:val="18"/>
                <w:shd w:val="clear" w:color="auto" w:fill="FFFFFF"/>
              </w:rPr>
            </w:pPr>
            <w:r w:rsidRPr="00A44209">
              <w:rPr>
                <w:rFonts w:cs="Calibri Light"/>
                <w:sz w:val="18"/>
                <w:szCs w:val="18"/>
                <w:shd w:val="clear" w:color="auto" w:fill="FFFFFF"/>
              </w:rPr>
              <w:t>California Public Utilities Commission (CPUC). 2012. </w:t>
            </w:r>
            <w:r w:rsidRPr="00A44209">
              <w:rPr>
                <w:rStyle w:val="Emphasis"/>
                <w:rFonts w:cs="Calibri Light"/>
                <w:color w:val="292929"/>
                <w:sz w:val="18"/>
                <w:szCs w:val="18"/>
                <w:shd w:val="clear" w:color="auto" w:fill="FFFFFF"/>
              </w:rPr>
              <w:t>Decision 12-05-015 in the Order Instituting Rulemaking to Examine the Commission's Post-2008 Energy Efficiency Policies, Programs, Evaluation, Measurement, and Verification, and Related Issues (R.09-11-014).</w:t>
            </w:r>
            <w:r w:rsidRPr="00A44209">
              <w:rPr>
                <w:rFonts w:cs="Calibri Light"/>
                <w:sz w:val="18"/>
                <w:szCs w:val="18"/>
                <w:shd w:val="clear" w:color="auto" w:fill="FFFFFF"/>
              </w:rPr>
              <w:t> Issued May 18.  (OP 14) </w:t>
            </w:r>
          </w:p>
          <w:p w14:paraId="133857EB" w14:textId="68632D41" w:rsidR="00F779BA" w:rsidRPr="00A44209" w:rsidRDefault="00A44209" w:rsidP="00F8464D">
            <w:pPr>
              <w:rPr>
                <w:rFonts w:cs="Calibri Light"/>
                <w:sz w:val="18"/>
                <w:szCs w:val="18"/>
              </w:rPr>
            </w:pPr>
            <w:r w:rsidRPr="00A44209">
              <w:rPr>
                <w:rFonts w:cs="Calibri Light"/>
                <w:color w:val="292929"/>
                <w:sz w:val="18"/>
                <w:szCs w:val="18"/>
                <w:shd w:val="clear" w:color="auto" w:fill="FFFFFF"/>
              </w:rPr>
              <w:t>California Public Utilities Commission (CPUC), Energy Division. 2013. </w:t>
            </w:r>
            <w:r w:rsidRPr="00A44209">
              <w:rPr>
                <w:rStyle w:val="Emphasis"/>
                <w:rFonts w:cs="Calibri Light"/>
                <w:i w:val="0"/>
                <w:iCs w:val="0"/>
                <w:color w:val="292929"/>
                <w:sz w:val="18"/>
                <w:szCs w:val="18"/>
                <w:shd w:val="clear" w:color="auto" w:fill="FFFFFF"/>
              </w:rPr>
              <w:t>Energy Efficiency Policy Manual Version 5. Page 21.</w:t>
            </w:r>
          </w:p>
        </w:tc>
      </w:tr>
    </w:tbl>
    <w:p w14:paraId="46BD0BB0" w14:textId="4BFF7A17" w:rsidR="0000521D" w:rsidRDefault="0000521D" w:rsidP="004142EF"/>
    <w:p w14:paraId="323B5B02" w14:textId="4C4B13DC" w:rsidR="007D230B" w:rsidRPr="004B06E3" w:rsidRDefault="00D02C36" w:rsidP="006B4A4F">
      <w:pPr>
        <w:pStyle w:val="eTRMHeading3"/>
      </w:pPr>
      <w:bookmarkStart w:id="64" w:name="_Toc486490864"/>
      <w:bookmarkStart w:id="65" w:name="_Toc486580935"/>
      <w:bookmarkStart w:id="66" w:name="_Toc24552031"/>
      <w:r>
        <w:t>Gross Savings Installation Adjustment (</w:t>
      </w:r>
      <w:r w:rsidR="007D230B" w:rsidRPr="004B06E3">
        <w:t>GSIA</w:t>
      </w:r>
      <w:bookmarkEnd w:id="64"/>
      <w:bookmarkEnd w:id="65"/>
      <w:r>
        <w:t>)</w:t>
      </w:r>
      <w:bookmarkEnd w:id="66"/>
    </w:p>
    <w:p w14:paraId="2A1F1C17" w14:textId="229F04AB"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Start w:id="67" w:name="_Hlk505693433"/>
      <w:r w:rsidR="00485834">
        <w:t>This GSIA rate is the current “default” rate specified for measures for which an alternative GSIA has not been estimated and approved.</w:t>
      </w:r>
      <w:bookmarkEnd w:id="67"/>
    </w:p>
    <w:p w14:paraId="022915CE" w14:textId="7749664A" w:rsidR="00DE1A0F" w:rsidRPr="0059426D" w:rsidRDefault="00AA2841" w:rsidP="00931868">
      <w:pPr>
        <w:pStyle w:val="Caption"/>
      </w:pPr>
      <w:r>
        <w:t>Gross Savings</w:t>
      </w:r>
      <w:r w:rsidR="00DE1A0F">
        <w:t xml:space="preserve"> Installation </w:t>
      </w:r>
      <w:r>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59426D"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59426D" w:rsidRDefault="00177EB6" w:rsidP="00F8464D">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59426D" w:rsidRDefault="00AA3E2A" w:rsidP="00F8464D">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30" w:type="pct"/>
            <w:shd w:val="clear" w:color="000000" w:fill="F2F2F2" w:themeFill="background1" w:themeFillShade="F2"/>
          </w:tcPr>
          <w:p w14:paraId="32AB7FEE" w14:textId="77936D4E" w:rsidR="00AA3E2A" w:rsidRPr="00D02DA8" w:rsidRDefault="00AA3E2A" w:rsidP="00F8464D">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594142">
        <w:trPr>
          <w:cantSplit/>
          <w:trHeight w:val="20"/>
        </w:trPr>
        <w:tc>
          <w:tcPr>
            <w:tcW w:w="1104" w:type="pct"/>
            <w:vAlign w:val="center"/>
          </w:tcPr>
          <w:p w14:paraId="6618BC2B" w14:textId="5ADBCA04" w:rsidR="00AA3E2A" w:rsidRPr="0059426D" w:rsidRDefault="00177EB6" w:rsidP="00594142">
            <w:pPr>
              <w:keepNext/>
              <w:keepLines/>
              <w:spacing w:before="0" w:after="0" w:line="200" w:lineRule="atLeast"/>
              <w:rPr>
                <w:rFonts w:cstheme="minorHAnsi"/>
                <w:sz w:val="20"/>
                <w:szCs w:val="20"/>
              </w:rPr>
            </w:pPr>
            <w:r>
              <w:rPr>
                <w:rFonts w:cstheme="minorHAnsi"/>
                <w:sz w:val="20"/>
                <w:szCs w:val="20"/>
              </w:rPr>
              <w:t xml:space="preserve">GSIA - </w:t>
            </w:r>
            <w:r w:rsidR="00485834">
              <w:rPr>
                <w:rFonts w:cstheme="minorHAnsi"/>
                <w:sz w:val="20"/>
                <w:szCs w:val="20"/>
              </w:rPr>
              <w:t>Default</w:t>
            </w:r>
          </w:p>
        </w:tc>
        <w:tc>
          <w:tcPr>
            <w:tcW w:w="865" w:type="pct"/>
            <w:vAlign w:val="center"/>
          </w:tcPr>
          <w:p w14:paraId="6D1D8F27" w14:textId="53124B47" w:rsidR="00AA3E2A" w:rsidRPr="00AA2841" w:rsidRDefault="00485834" w:rsidP="00F8464D">
            <w:pPr>
              <w:keepNext/>
              <w:keepLines/>
              <w:spacing w:before="0" w:after="0" w:line="200" w:lineRule="atLeast"/>
              <w:jc w:val="center"/>
              <w:rPr>
                <w:sz w:val="20"/>
                <w:szCs w:val="20"/>
              </w:rPr>
            </w:pPr>
            <w:r w:rsidRPr="00AA2841">
              <w:rPr>
                <w:sz w:val="20"/>
                <w:szCs w:val="20"/>
              </w:rPr>
              <w:t>1</w:t>
            </w:r>
            <w:r w:rsidR="00AA3E2A" w:rsidRPr="00AA2841">
              <w:rPr>
                <w:sz w:val="20"/>
                <w:szCs w:val="20"/>
              </w:rPr>
              <w:t>.</w:t>
            </w:r>
            <w:r w:rsidRPr="00AA2841">
              <w:rPr>
                <w:sz w:val="20"/>
                <w:szCs w:val="20"/>
              </w:rPr>
              <w:t>00</w:t>
            </w:r>
          </w:p>
        </w:tc>
        <w:tc>
          <w:tcPr>
            <w:tcW w:w="3030" w:type="pct"/>
          </w:tcPr>
          <w:p w14:paraId="52FCA633" w14:textId="43525B48" w:rsidR="00AA3E2A" w:rsidRPr="00BB4F22" w:rsidRDefault="00485834" w:rsidP="00F8464D">
            <w:pPr>
              <w:keepNext/>
              <w:keepLines/>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5F3C1C">
      <w:pPr>
        <w:spacing w:before="0" w:after="0"/>
        <w:rPr>
          <w:rFonts w:cs="Arial"/>
          <w:sz w:val="20"/>
          <w:szCs w:val="20"/>
        </w:rPr>
      </w:pPr>
    </w:p>
    <w:p w14:paraId="498C05E5" w14:textId="232D8547" w:rsidR="002C67DF" w:rsidRPr="004B06E3" w:rsidRDefault="002C67DF" w:rsidP="006B4A4F">
      <w:pPr>
        <w:pStyle w:val="eTRMHeading3"/>
      </w:pPr>
      <w:bookmarkStart w:id="68" w:name="_Toc486490865"/>
      <w:bookmarkStart w:id="69" w:name="_Toc486580936"/>
      <w:bookmarkStart w:id="70" w:name="_Toc24552032"/>
      <w:r w:rsidRPr="004B06E3">
        <w:t xml:space="preserve">Non-Energy </w:t>
      </w:r>
      <w:bookmarkEnd w:id="68"/>
      <w:bookmarkEnd w:id="69"/>
      <w:r w:rsidR="00DA6B7E">
        <w:t>Impacts</w:t>
      </w:r>
      <w:bookmarkEnd w:id="70"/>
    </w:p>
    <w:p w14:paraId="0D73FC70" w14:textId="5EECDCBA" w:rsidR="00697A88" w:rsidRDefault="00697A88" w:rsidP="004A2CEE">
      <w:r>
        <w:t xml:space="preserve">Non-energy benefits for this measure have not been </w:t>
      </w:r>
      <w:r w:rsidR="009D7F4D">
        <w:t>quantified</w:t>
      </w:r>
      <w:r>
        <w:t>.</w:t>
      </w:r>
    </w:p>
    <w:p w14:paraId="3FDCB73E" w14:textId="77777777" w:rsidR="00886FE6" w:rsidRDefault="00886FE6" w:rsidP="004A2CEE"/>
    <w:p w14:paraId="7D8551BB" w14:textId="760F7D39" w:rsidR="009C31A4" w:rsidRPr="004B06E3" w:rsidRDefault="009C31A4" w:rsidP="006B4A4F">
      <w:pPr>
        <w:pStyle w:val="eTRMHeading3"/>
      </w:pPr>
      <w:bookmarkStart w:id="71" w:name="_Toc24552033"/>
      <w:r>
        <w:lastRenderedPageBreak/>
        <w:t>DEER Differences Analysis</w:t>
      </w:r>
      <w:bookmarkEnd w:id="71"/>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756C62FB" w14:textId="70A8FF6C" w:rsidR="00EA057C" w:rsidRPr="00920905" w:rsidRDefault="00EA057C" w:rsidP="00931868">
      <w:pPr>
        <w:pStyle w:val="Caption"/>
      </w:pPr>
      <w:r w:rsidRPr="00920905">
        <w:t>DEER Difference Summary</w:t>
      </w:r>
    </w:p>
    <w:tbl>
      <w:tblPr>
        <w:tblW w:w="50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2"/>
        <w:gridCol w:w="6303"/>
      </w:tblGrid>
      <w:tr w:rsidR="00EA057C" w:rsidRPr="00500C4E" w14:paraId="59D017C8" w14:textId="77777777" w:rsidTr="00272C35">
        <w:trPr>
          <w:trHeight w:val="20"/>
          <w:tblHeader/>
        </w:trPr>
        <w:tc>
          <w:tcPr>
            <w:tcW w:w="1695"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305"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071A86">
        <w:trPr>
          <w:trHeight w:val="20"/>
        </w:trPr>
        <w:tc>
          <w:tcPr>
            <w:tcW w:w="1695"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305" w:type="pct"/>
          </w:tcPr>
          <w:p w14:paraId="247EE411" w14:textId="2BBBDD5E" w:rsidR="002E714C" w:rsidRPr="00594142" w:rsidRDefault="00071A86" w:rsidP="005710BF">
            <w:pPr>
              <w:spacing w:before="20" w:after="20"/>
              <w:rPr>
                <w:rFonts w:cs="Arial"/>
                <w:sz w:val="20"/>
                <w:szCs w:val="20"/>
              </w:rPr>
            </w:pPr>
            <w:r>
              <w:rPr>
                <w:rFonts w:cs="Arial"/>
                <w:sz w:val="20"/>
                <w:szCs w:val="20"/>
              </w:rPr>
              <w:t>No</w:t>
            </w:r>
          </w:p>
        </w:tc>
      </w:tr>
      <w:tr w:rsidR="002E714C" w:rsidRPr="00500C4E" w14:paraId="507422EA" w14:textId="77777777" w:rsidTr="00071A86">
        <w:trPr>
          <w:trHeight w:val="20"/>
        </w:trPr>
        <w:tc>
          <w:tcPr>
            <w:tcW w:w="1695"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305" w:type="pct"/>
          </w:tcPr>
          <w:p w14:paraId="0C847473" w14:textId="6E78F1B8" w:rsidR="002E714C" w:rsidRPr="00594142" w:rsidRDefault="00071A86" w:rsidP="005710BF">
            <w:pPr>
              <w:spacing w:before="20" w:after="20"/>
              <w:rPr>
                <w:rFonts w:cs="Arial"/>
                <w:sz w:val="20"/>
                <w:szCs w:val="20"/>
              </w:rPr>
            </w:pPr>
            <w:r>
              <w:rPr>
                <w:rFonts w:cs="Arial"/>
                <w:sz w:val="20"/>
                <w:szCs w:val="20"/>
              </w:rPr>
              <w:t>No</w:t>
            </w:r>
          </w:p>
        </w:tc>
      </w:tr>
      <w:tr w:rsidR="002E714C" w:rsidRPr="00500C4E" w14:paraId="335CDE40" w14:textId="77777777" w:rsidTr="00071A86">
        <w:trPr>
          <w:trHeight w:val="20"/>
        </w:trPr>
        <w:tc>
          <w:tcPr>
            <w:tcW w:w="1695"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305" w:type="pct"/>
          </w:tcPr>
          <w:p w14:paraId="5D2A1B0E" w14:textId="30DE054C" w:rsidR="002E714C" w:rsidRPr="00594142" w:rsidRDefault="00071A86" w:rsidP="005710BF">
            <w:pPr>
              <w:spacing w:before="20" w:after="20"/>
              <w:rPr>
                <w:rFonts w:cs="Arial"/>
                <w:sz w:val="20"/>
                <w:szCs w:val="20"/>
              </w:rPr>
            </w:pPr>
            <w:r>
              <w:rPr>
                <w:rFonts w:cs="Arial"/>
                <w:sz w:val="20"/>
                <w:szCs w:val="20"/>
              </w:rPr>
              <w:t>No</w:t>
            </w:r>
          </w:p>
        </w:tc>
      </w:tr>
      <w:tr w:rsidR="002E714C" w:rsidRPr="00500C4E" w14:paraId="1F8399E1" w14:textId="77777777" w:rsidTr="00071A86">
        <w:trPr>
          <w:trHeight w:val="20"/>
        </w:trPr>
        <w:tc>
          <w:tcPr>
            <w:tcW w:w="1695"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305" w:type="pct"/>
          </w:tcPr>
          <w:p w14:paraId="49A023A0" w14:textId="507E0C5A" w:rsidR="002E714C" w:rsidRPr="00594142" w:rsidRDefault="00071A86" w:rsidP="005710BF">
            <w:pPr>
              <w:spacing w:before="20" w:after="20"/>
              <w:rPr>
                <w:rFonts w:cs="Arial"/>
                <w:sz w:val="20"/>
                <w:szCs w:val="20"/>
              </w:rPr>
            </w:pPr>
            <w:r>
              <w:rPr>
                <w:rFonts w:cs="Arial"/>
                <w:sz w:val="20"/>
                <w:szCs w:val="20"/>
              </w:rPr>
              <w:t>No</w:t>
            </w:r>
          </w:p>
        </w:tc>
      </w:tr>
      <w:tr w:rsidR="002E714C" w:rsidRPr="00500C4E" w14:paraId="663742C6" w14:textId="77777777" w:rsidTr="00071A86">
        <w:trPr>
          <w:trHeight w:val="20"/>
        </w:trPr>
        <w:tc>
          <w:tcPr>
            <w:tcW w:w="1695"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305" w:type="pct"/>
          </w:tcPr>
          <w:p w14:paraId="6BBA540C" w14:textId="0EACA713" w:rsidR="002E714C" w:rsidRPr="00594142" w:rsidRDefault="00071A86" w:rsidP="005710BF">
            <w:pPr>
              <w:spacing w:before="20" w:after="20"/>
              <w:rPr>
                <w:rFonts w:cs="Arial"/>
                <w:sz w:val="20"/>
                <w:szCs w:val="20"/>
              </w:rPr>
            </w:pPr>
            <w:r>
              <w:rPr>
                <w:rFonts w:cs="Arial"/>
                <w:sz w:val="20"/>
                <w:szCs w:val="20"/>
              </w:rPr>
              <w:t>No</w:t>
            </w:r>
          </w:p>
        </w:tc>
      </w:tr>
      <w:tr w:rsidR="002E714C" w:rsidRPr="00500C4E" w14:paraId="424F1325" w14:textId="77777777" w:rsidTr="00071A86">
        <w:trPr>
          <w:trHeight w:val="20"/>
        </w:trPr>
        <w:tc>
          <w:tcPr>
            <w:tcW w:w="1695"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305" w:type="pct"/>
          </w:tcPr>
          <w:p w14:paraId="1693E1EE" w14:textId="1092373B" w:rsidR="002E714C" w:rsidRPr="00594142" w:rsidRDefault="00071A86" w:rsidP="005710BF">
            <w:pPr>
              <w:spacing w:before="20" w:after="20"/>
              <w:rPr>
                <w:rFonts w:cs="Arial"/>
                <w:sz w:val="20"/>
                <w:szCs w:val="20"/>
              </w:rPr>
            </w:pPr>
            <w:r>
              <w:rPr>
                <w:rFonts w:cs="Arial"/>
                <w:sz w:val="20"/>
                <w:szCs w:val="20"/>
              </w:rPr>
              <w:t>No</w:t>
            </w:r>
          </w:p>
        </w:tc>
      </w:tr>
      <w:tr w:rsidR="002E714C" w:rsidRPr="00500C4E" w14:paraId="0B93AD47" w14:textId="77777777" w:rsidTr="00071A86">
        <w:trPr>
          <w:trHeight w:val="20"/>
        </w:trPr>
        <w:tc>
          <w:tcPr>
            <w:tcW w:w="1695" w:type="pct"/>
          </w:tcPr>
          <w:p w14:paraId="6E9E484F" w14:textId="77777777" w:rsidR="002E714C" w:rsidRPr="00EA057C" w:rsidRDefault="002E714C" w:rsidP="005710BF">
            <w:pPr>
              <w:spacing w:before="20" w:after="20"/>
              <w:rPr>
                <w:rFonts w:cs="Arial"/>
                <w:sz w:val="20"/>
                <w:szCs w:val="20"/>
              </w:rPr>
            </w:pPr>
            <w:r w:rsidRPr="00EA057C">
              <w:rPr>
                <w:rFonts w:cs="Arial"/>
                <w:sz w:val="20"/>
                <w:szCs w:val="20"/>
              </w:rPr>
              <w:t>DEER eQUEST Prototypes</w:t>
            </w:r>
          </w:p>
        </w:tc>
        <w:tc>
          <w:tcPr>
            <w:tcW w:w="3305" w:type="pct"/>
          </w:tcPr>
          <w:p w14:paraId="4948DEAF" w14:textId="545D962B" w:rsidR="002E714C" w:rsidRPr="00594142" w:rsidDel="00505CEC" w:rsidRDefault="00071A86" w:rsidP="005710BF">
            <w:pPr>
              <w:spacing w:before="20" w:after="20"/>
              <w:rPr>
                <w:rFonts w:cs="Arial"/>
                <w:sz w:val="20"/>
                <w:szCs w:val="20"/>
              </w:rPr>
            </w:pPr>
            <w:r>
              <w:rPr>
                <w:rFonts w:cs="Arial"/>
                <w:sz w:val="20"/>
                <w:szCs w:val="20"/>
              </w:rPr>
              <w:t>No</w:t>
            </w:r>
          </w:p>
        </w:tc>
      </w:tr>
      <w:tr w:rsidR="002E714C" w:rsidRPr="00500C4E" w14:paraId="2CFDE9D3" w14:textId="77777777" w:rsidTr="00071A86">
        <w:trPr>
          <w:trHeight w:val="180"/>
        </w:trPr>
        <w:tc>
          <w:tcPr>
            <w:tcW w:w="1695"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305" w:type="pct"/>
          </w:tcPr>
          <w:p w14:paraId="1C3B60D1" w14:textId="3684D187" w:rsidR="002E714C" w:rsidRPr="00594142" w:rsidRDefault="00071A86" w:rsidP="005710BF">
            <w:pPr>
              <w:spacing w:before="20" w:after="20"/>
              <w:rPr>
                <w:rFonts w:cs="Arial"/>
                <w:sz w:val="20"/>
                <w:szCs w:val="20"/>
              </w:rPr>
            </w:pPr>
            <w:r w:rsidRPr="00071A86">
              <w:rPr>
                <w:rFonts w:cs="Arial"/>
                <w:sz w:val="20"/>
                <w:szCs w:val="20"/>
              </w:rPr>
              <w:t>DEER 2018, READI v2.5.1</w:t>
            </w:r>
            <w:r w:rsidR="00BD2C9F">
              <w:rPr>
                <w:rFonts w:cs="Arial"/>
                <w:sz w:val="20"/>
                <w:szCs w:val="20"/>
              </w:rPr>
              <w:t xml:space="preserve"> (September 26, 2018)</w:t>
            </w:r>
          </w:p>
        </w:tc>
      </w:tr>
      <w:tr w:rsidR="002E714C" w:rsidRPr="00500C4E" w14:paraId="3B7464D7" w14:textId="77777777" w:rsidTr="00071A86">
        <w:trPr>
          <w:trHeight w:val="20"/>
        </w:trPr>
        <w:tc>
          <w:tcPr>
            <w:tcW w:w="1695"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305" w:type="pct"/>
          </w:tcPr>
          <w:p w14:paraId="125AAB90" w14:textId="4439A2D8" w:rsidR="002E714C" w:rsidRPr="00594142" w:rsidRDefault="00071A86" w:rsidP="005710BF">
            <w:pPr>
              <w:spacing w:before="20" w:after="20"/>
              <w:rPr>
                <w:rFonts w:cs="Arial"/>
                <w:sz w:val="20"/>
                <w:szCs w:val="20"/>
              </w:rPr>
            </w:pPr>
            <w:r w:rsidRPr="00071A86">
              <w:rPr>
                <w:rFonts w:cs="Arial"/>
                <w:sz w:val="20"/>
                <w:szCs w:val="20"/>
              </w:rPr>
              <w:t>DEER does not contain</w:t>
            </w:r>
            <w:r>
              <w:rPr>
                <w:rFonts w:cs="Arial"/>
                <w:sz w:val="20"/>
                <w:szCs w:val="20"/>
              </w:rPr>
              <w:t xml:space="preserve"> Heat-Recovery Rooftop Units</w:t>
            </w:r>
          </w:p>
        </w:tc>
      </w:tr>
      <w:tr w:rsidR="002E714C" w:rsidRPr="00500C4E" w14:paraId="4A7EE859" w14:textId="77777777" w:rsidTr="00071A86">
        <w:trPr>
          <w:trHeight w:val="20"/>
        </w:trPr>
        <w:tc>
          <w:tcPr>
            <w:tcW w:w="1695"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305" w:type="pct"/>
          </w:tcPr>
          <w:p w14:paraId="63ABA251" w14:textId="4D361B2A" w:rsidR="002E714C" w:rsidRPr="00594142" w:rsidRDefault="00071A86" w:rsidP="005710BF">
            <w:pPr>
              <w:spacing w:before="20" w:after="20"/>
              <w:rPr>
                <w:rFonts w:cs="Arial"/>
                <w:sz w:val="20"/>
                <w:szCs w:val="20"/>
              </w:rPr>
            </w:pPr>
            <w:r>
              <w:rPr>
                <w:rFonts w:cs="Arial"/>
                <w:sz w:val="20"/>
                <w:szCs w:val="20"/>
              </w:rPr>
              <w:t>None</w:t>
            </w:r>
          </w:p>
        </w:tc>
      </w:tr>
      <w:tr w:rsidR="00EA057C" w:rsidRPr="00500C4E" w14:paraId="5A83EC74" w14:textId="77777777" w:rsidTr="00071A86">
        <w:trPr>
          <w:trHeight w:val="20"/>
        </w:trPr>
        <w:tc>
          <w:tcPr>
            <w:tcW w:w="1695" w:type="pct"/>
          </w:tcPr>
          <w:p w14:paraId="2C82A9E0" w14:textId="121308D7" w:rsidR="00EA057C" w:rsidRPr="00EA057C" w:rsidRDefault="00EA057C" w:rsidP="005710BF">
            <w:pPr>
              <w:spacing w:before="20" w:after="20"/>
              <w:rPr>
                <w:rFonts w:cs="Arial"/>
                <w:sz w:val="20"/>
                <w:szCs w:val="20"/>
              </w:rPr>
            </w:pPr>
            <w:r>
              <w:rPr>
                <w:rFonts w:cs="Arial"/>
                <w:sz w:val="20"/>
                <w:szCs w:val="20"/>
              </w:rPr>
              <w:t>NTG</w:t>
            </w:r>
          </w:p>
        </w:tc>
        <w:tc>
          <w:tcPr>
            <w:tcW w:w="3305" w:type="pct"/>
          </w:tcPr>
          <w:p w14:paraId="2BBBB10C" w14:textId="06A538BA" w:rsidR="00EA057C" w:rsidRPr="00071A86" w:rsidRDefault="005A74DC" w:rsidP="005710BF">
            <w:pPr>
              <w:spacing w:before="20" w:after="20"/>
              <w:rPr>
                <w:rFonts w:cs="Arial"/>
                <w:i/>
                <w:sz w:val="20"/>
                <w:szCs w:val="20"/>
              </w:rPr>
            </w:pPr>
            <w:r w:rsidRPr="00071A86">
              <w:rPr>
                <w:rFonts w:cs="Arial"/>
                <w:sz w:val="20"/>
                <w:szCs w:val="20"/>
              </w:rPr>
              <w:t xml:space="preserve">Source: </w:t>
            </w:r>
            <w:r w:rsidR="00071A86" w:rsidRPr="00071A86">
              <w:rPr>
                <w:rFonts w:cs="Arial"/>
                <w:sz w:val="20"/>
                <w:szCs w:val="20"/>
              </w:rPr>
              <w:t>DEER</w:t>
            </w:r>
            <w:r w:rsidR="009C12A7" w:rsidRPr="00071A86">
              <w:rPr>
                <w:rFonts w:cs="Arial"/>
                <w:sz w:val="20"/>
                <w:szCs w:val="20"/>
              </w:rPr>
              <w:t>.</w:t>
            </w:r>
            <w:r w:rsidRPr="00071A86">
              <w:rPr>
                <w:rFonts w:cs="Arial"/>
                <w:sz w:val="20"/>
                <w:szCs w:val="20"/>
              </w:rPr>
              <w:t xml:space="preserve"> The NTG of </w:t>
            </w:r>
            <w:r w:rsidR="009C12A7" w:rsidRPr="00071A86">
              <w:rPr>
                <w:rFonts w:cs="Arial"/>
                <w:sz w:val="20"/>
                <w:szCs w:val="20"/>
              </w:rPr>
              <w:t>0.</w:t>
            </w:r>
            <w:r w:rsidR="00071A86" w:rsidRPr="00071A86">
              <w:rPr>
                <w:rFonts w:cs="Arial"/>
                <w:sz w:val="20"/>
                <w:szCs w:val="20"/>
              </w:rPr>
              <w:t>85</w:t>
            </w:r>
            <w:r w:rsidRPr="00071A86">
              <w:rPr>
                <w:rFonts w:cs="Arial"/>
                <w:sz w:val="20"/>
                <w:szCs w:val="20"/>
              </w:rPr>
              <w:t xml:space="preserve"> is associated with NTG ID:</w:t>
            </w:r>
            <w:r w:rsidR="00071A86" w:rsidRPr="00071A86">
              <w:rPr>
                <w:rFonts w:cs="Arial"/>
                <w:i/>
                <w:sz w:val="20"/>
                <w:szCs w:val="20"/>
              </w:rPr>
              <w:t>ET-Default</w:t>
            </w:r>
          </w:p>
        </w:tc>
      </w:tr>
      <w:tr w:rsidR="00EA057C" w:rsidRPr="00500C4E" w14:paraId="131D1F9D" w14:textId="77777777" w:rsidTr="00071A86">
        <w:trPr>
          <w:trHeight w:val="20"/>
        </w:trPr>
        <w:tc>
          <w:tcPr>
            <w:tcW w:w="1695" w:type="pct"/>
          </w:tcPr>
          <w:p w14:paraId="45FFA983" w14:textId="5F527A83" w:rsidR="00EA057C" w:rsidRDefault="00EA057C" w:rsidP="005710BF">
            <w:pPr>
              <w:spacing w:before="20" w:after="20"/>
              <w:rPr>
                <w:rFonts w:cs="Arial"/>
                <w:sz w:val="20"/>
                <w:szCs w:val="20"/>
              </w:rPr>
            </w:pPr>
            <w:r>
              <w:rPr>
                <w:rFonts w:cs="Arial"/>
                <w:sz w:val="20"/>
                <w:szCs w:val="20"/>
              </w:rPr>
              <w:t>GSIA</w:t>
            </w:r>
          </w:p>
        </w:tc>
        <w:tc>
          <w:tcPr>
            <w:tcW w:w="3305" w:type="pct"/>
          </w:tcPr>
          <w:p w14:paraId="7C16D603" w14:textId="41189B11" w:rsidR="00EA057C" w:rsidRPr="00071A86" w:rsidRDefault="005A74DC" w:rsidP="005710BF">
            <w:pPr>
              <w:spacing w:before="20" w:after="20"/>
              <w:rPr>
                <w:rFonts w:cs="Arial"/>
                <w:sz w:val="20"/>
                <w:szCs w:val="20"/>
              </w:rPr>
            </w:pPr>
            <w:r w:rsidRPr="00071A86">
              <w:rPr>
                <w:rFonts w:cs="Arial"/>
                <w:sz w:val="20"/>
                <w:szCs w:val="20"/>
              </w:rPr>
              <w:t xml:space="preserve">The GSIA of </w:t>
            </w:r>
            <w:r w:rsidR="00AA2841" w:rsidRPr="00071A86">
              <w:rPr>
                <w:rFonts w:cs="Arial"/>
                <w:sz w:val="20"/>
                <w:szCs w:val="20"/>
              </w:rPr>
              <w:t>1.0</w:t>
            </w:r>
            <w:r w:rsidRPr="00071A86">
              <w:rPr>
                <w:rFonts w:cs="Arial"/>
                <w:sz w:val="20"/>
                <w:szCs w:val="20"/>
              </w:rPr>
              <w:t xml:space="preserve"> is associated with GSIA ID: </w:t>
            </w:r>
            <w:r w:rsidR="00AA2841" w:rsidRPr="00071A86">
              <w:rPr>
                <w:rFonts w:cs="Arial"/>
                <w:i/>
                <w:sz w:val="20"/>
                <w:szCs w:val="20"/>
              </w:rPr>
              <w:t>Def-GSIA</w:t>
            </w:r>
          </w:p>
        </w:tc>
      </w:tr>
      <w:tr w:rsidR="00EA057C" w:rsidRPr="00500C4E" w14:paraId="4D0F7E1B" w14:textId="77777777" w:rsidTr="00071A86">
        <w:trPr>
          <w:trHeight w:val="350"/>
        </w:trPr>
        <w:tc>
          <w:tcPr>
            <w:tcW w:w="1695" w:type="pct"/>
          </w:tcPr>
          <w:p w14:paraId="103BA947" w14:textId="6665B2EA" w:rsidR="00EA057C" w:rsidRDefault="00EA057C" w:rsidP="005710BF">
            <w:pPr>
              <w:spacing w:before="20" w:after="20"/>
              <w:rPr>
                <w:rFonts w:cs="Arial"/>
                <w:sz w:val="20"/>
                <w:szCs w:val="20"/>
              </w:rPr>
            </w:pPr>
            <w:r>
              <w:rPr>
                <w:rFonts w:cs="Arial"/>
                <w:sz w:val="20"/>
                <w:szCs w:val="20"/>
              </w:rPr>
              <w:t>EUL/RUL</w:t>
            </w:r>
          </w:p>
        </w:tc>
        <w:tc>
          <w:tcPr>
            <w:tcW w:w="3305" w:type="pct"/>
          </w:tcPr>
          <w:p w14:paraId="5BD9C961" w14:textId="2556D141" w:rsidR="00EA057C" w:rsidRPr="00EA057C" w:rsidRDefault="005A74DC" w:rsidP="005710BF">
            <w:pPr>
              <w:spacing w:before="20" w:after="20"/>
              <w:rPr>
                <w:rFonts w:cs="Arial"/>
                <w:sz w:val="20"/>
                <w:szCs w:val="20"/>
              </w:rPr>
            </w:pPr>
            <w:r>
              <w:rPr>
                <w:rFonts w:cs="Arial"/>
                <w:sz w:val="20"/>
                <w:szCs w:val="20"/>
              </w:rPr>
              <w:t xml:space="preserve">Source: </w:t>
            </w:r>
            <w:r w:rsidR="00071A86">
              <w:rPr>
                <w:rFonts w:cs="Arial"/>
                <w:sz w:val="20"/>
                <w:szCs w:val="20"/>
              </w:rPr>
              <w:t>DEER</w:t>
            </w:r>
            <w:r w:rsidR="004A2CEE">
              <w:rPr>
                <w:rFonts w:cs="Arial"/>
                <w:sz w:val="20"/>
                <w:szCs w:val="20"/>
              </w:rPr>
              <w:t>.</w:t>
            </w:r>
            <w:r>
              <w:rPr>
                <w:rFonts w:cs="Arial"/>
                <w:sz w:val="20"/>
                <w:szCs w:val="20"/>
              </w:rPr>
              <w:t xml:space="preserve"> The value of </w:t>
            </w:r>
            <w:r w:rsidR="00071A86">
              <w:rPr>
                <w:rFonts w:cs="Arial"/>
                <w:sz w:val="20"/>
                <w:szCs w:val="20"/>
              </w:rPr>
              <w:t>15</w:t>
            </w:r>
            <w:r>
              <w:rPr>
                <w:rFonts w:cs="Arial"/>
                <w:sz w:val="20"/>
                <w:szCs w:val="20"/>
              </w:rPr>
              <w:t xml:space="preserve"> years is associated with EUL ID:</w:t>
            </w:r>
            <w:r w:rsidR="00071A86">
              <w:rPr>
                <w:rFonts w:cs="Arial"/>
                <w:sz w:val="20"/>
                <w:szCs w:val="20"/>
              </w:rPr>
              <w:t xml:space="preserve"> </w:t>
            </w:r>
            <w:r w:rsidR="00071A86" w:rsidRPr="00071A86">
              <w:rPr>
                <w:rFonts w:cs="Arial"/>
                <w:i/>
                <w:iCs/>
                <w:sz w:val="20"/>
                <w:szCs w:val="20"/>
              </w:rPr>
              <w:t>HVAC-</w:t>
            </w:r>
            <w:proofErr w:type="spellStart"/>
            <w:r w:rsidR="00071A86" w:rsidRPr="00071A86">
              <w:rPr>
                <w:rFonts w:cs="Arial"/>
                <w:i/>
                <w:iCs/>
                <w:sz w:val="20"/>
                <w:szCs w:val="20"/>
              </w:rPr>
              <w:t>airAC</w:t>
            </w:r>
            <w:proofErr w:type="spellEnd"/>
          </w:p>
        </w:tc>
      </w:tr>
    </w:tbl>
    <w:p w14:paraId="7E9A051C" w14:textId="77777777" w:rsidR="00886FE6" w:rsidRDefault="00886FE6" w:rsidP="00272C35">
      <w:bookmarkStart w:id="72" w:name="_Toc486490866"/>
      <w:bookmarkStart w:id="73" w:name="_Toc486580937"/>
      <w:bookmarkStart w:id="74" w:name="_Hlk516051142"/>
      <w:bookmarkStart w:id="75" w:name="_Hlk516047558"/>
    </w:p>
    <w:p w14:paraId="59542C0D" w14:textId="2AA45D3F" w:rsidR="007D230B" w:rsidRDefault="007D230B" w:rsidP="006B4A4F">
      <w:pPr>
        <w:pStyle w:val="eTRMHeading3"/>
      </w:pPr>
      <w:bookmarkStart w:id="76" w:name="_Toc24552034"/>
      <w:r w:rsidRPr="004B06E3">
        <w:t>Revision History</w:t>
      </w:r>
      <w:bookmarkEnd w:id="72"/>
      <w:bookmarkEnd w:id="73"/>
      <w:bookmarkEnd w:id="76"/>
    </w:p>
    <w:p w14:paraId="3661732B" w14:textId="277A4005" w:rsidR="00CA1CB3" w:rsidRDefault="00742F88" w:rsidP="00931868">
      <w:pPr>
        <w:pStyle w:val="Caption"/>
      </w:pPr>
      <w:bookmarkStart w:id="77"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664"/>
        <w:gridCol w:w="1891"/>
        <w:gridCol w:w="4855"/>
      </w:tblGrid>
      <w:tr w:rsidR="00CA1CB3" w:rsidRPr="00500C4E" w14:paraId="1904D58C" w14:textId="6E96D877" w:rsidTr="00036EFF">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90"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101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596"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EE0116" w:rsidRPr="00CA1CB3" w14:paraId="0A9DBD7D" w14:textId="04A29668" w:rsidTr="00AE3374">
        <w:trPr>
          <w:trHeight w:val="1025"/>
        </w:trPr>
        <w:tc>
          <w:tcPr>
            <w:tcW w:w="503" w:type="pct"/>
            <w:vMerge w:val="restart"/>
          </w:tcPr>
          <w:p w14:paraId="33CD20C4" w14:textId="77777777" w:rsidR="00EE0116" w:rsidRDefault="00EE0116" w:rsidP="00EE0116">
            <w:pPr>
              <w:keepNext/>
              <w:keepLines/>
              <w:spacing w:before="20" w:after="20"/>
              <w:jc w:val="center"/>
              <w:rPr>
                <w:rFonts w:cs="Arial"/>
                <w:sz w:val="20"/>
                <w:szCs w:val="20"/>
              </w:rPr>
            </w:pPr>
          </w:p>
          <w:p w14:paraId="3A472FA5" w14:textId="77777777" w:rsidR="00EE0116" w:rsidRDefault="00EE0116" w:rsidP="00EE0116">
            <w:pPr>
              <w:keepNext/>
              <w:keepLines/>
              <w:spacing w:before="20" w:after="20"/>
              <w:jc w:val="center"/>
              <w:rPr>
                <w:rFonts w:cs="Arial"/>
                <w:sz w:val="20"/>
                <w:szCs w:val="20"/>
              </w:rPr>
            </w:pPr>
          </w:p>
          <w:p w14:paraId="691DDC26" w14:textId="77777777" w:rsidR="00EE0116" w:rsidRDefault="00EE0116" w:rsidP="00EE0116">
            <w:pPr>
              <w:keepNext/>
              <w:keepLines/>
              <w:spacing w:before="20" w:after="20"/>
              <w:jc w:val="center"/>
              <w:rPr>
                <w:rFonts w:cs="Arial"/>
                <w:sz w:val="20"/>
                <w:szCs w:val="20"/>
              </w:rPr>
            </w:pPr>
          </w:p>
          <w:p w14:paraId="36204302" w14:textId="77777777" w:rsidR="00EE0116" w:rsidRDefault="00EE0116" w:rsidP="00EE0116">
            <w:pPr>
              <w:keepNext/>
              <w:keepLines/>
              <w:spacing w:before="20" w:after="20"/>
              <w:jc w:val="center"/>
              <w:rPr>
                <w:rFonts w:cs="Arial"/>
                <w:sz w:val="20"/>
                <w:szCs w:val="20"/>
              </w:rPr>
            </w:pPr>
          </w:p>
          <w:p w14:paraId="2CCC9E37" w14:textId="77777777" w:rsidR="00EE0116" w:rsidRDefault="00EE0116" w:rsidP="00EE0116">
            <w:pPr>
              <w:keepNext/>
              <w:keepLines/>
              <w:spacing w:before="20" w:after="20"/>
              <w:jc w:val="center"/>
              <w:rPr>
                <w:rFonts w:cs="Arial"/>
                <w:sz w:val="20"/>
                <w:szCs w:val="20"/>
              </w:rPr>
            </w:pPr>
          </w:p>
          <w:p w14:paraId="38788C98" w14:textId="0EB765E4" w:rsidR="00EE0116" w:rsidRPr="00CA1CB3" w:rsidRDefault="00EE0116" w:rsidP="00EE0116">
            <w:pPr>
              <w:keepNext/>
              <w:keepLines/>
              <w:spacing w:before="20" w:after="20"/>
              <w:jc w:val="center"/>
              <w:rPr>
                <w:rFonts w:cs="Arial"/>
                <w:sz w:val="20"/>
                <w:szCs w:val="20"/>
              </w:rPr>
            </w:pPr>
            <w:r>
              <w:rPr>
                <w:rFonts w:cs="Arial"/>
                <w:sz w:val="20"/>
                <w:szCs w:val="20"/>
              </w:rPr>
              <w:t>01</w:t>
            </w:r>
          </w:p>
        </w:tc>
        <w:tc>
          <w:tcPr>
            <w:tcW w:w="890" w:type="pct"/>
          </w:tcPr>
          <w:p w14:paraId="03B67B1D" w14:textId="520E461E" w:rsidR="00EE0116" w:rsidRPr="00071A86" w:rsidRDefault="00EE0116" w:rsidP="00D60987">
            <w:pPr>
              <w:keepNext/>
              <w:keepLines/>
              <w:spacing w:before="20" w:after="20"/>
              <w:rPr>
                <w:rFonts w:cs="Arial"/>
                <w:sz w:val="20"/>
                <w:szCs w:val="20"/>
              </w:rPr>
            </w:pPr>
            <w:r w:rsidRPr="00071A86">
              <w:rPr>
                <w:rFonts w:cs="Arial"/>
                <w:sz w:val="20"/>
                <w:szCs w:val="20"/>
              </w:rPr>
              <w:t>10/3</w:t>
            </w:r>
            <w:r>
              <w:rPr>
                <w:rFonts w:cs="Arial"/>
                <w:sz w:val="20"/>
                <w:szCs w:val="20"/>
              </w:rPr>
              <w:t>1</w:t>
            </w:r>
            <w:r w:rsidRPr="00071A86">
              <w:rPr>
                <w:rFonts w:cs="Arial"/>
                <w:sz w:val="20"/>
                <w:szCs w:val="20"/>
              </w:rPr>
              <w:t>/2019</w:t>
            </w:r>
          </w:p>
        </w:tc>
        <w:tc>
          <w:tcPr>
            <w:tcW w:w="1011" w:type="pct"/>
          </w:tcPr>
          <w:p w14:paraId="0C21F461" w14:textId="5F21CF77" w:rsidR="00EE0116" w:rsidRDefault="00EE0116" w:rsidP="00D60987">
            <w:pPr>
              <w:keepNext/>
              <w:keepLines/>
              <w:spacing w:before="20" w:after="20"/>
              <w:rPr>
                <w:rFonts w:cs="Arial"/>
                <w:sz w:val="20"/>
                <w:szCs w:val="20"/>
              </w:rPr>
            </w:pPr>
          </w:p>
          <w:p w14:paraId="32D154D7" w14:textId="2CF9F468" w:rsidR="00EE0116" w:rsidRPr="00071A86" w:rsidRDefault="00EE0116" w:rsidP="00D60987">
            <w:pPr>
              <w:keepNext/>
              <w:keepLines/>
              <w:spacing w:before="20" w:after="20"/>
              <w:rPr>
                <w:rFonts w:cs="Arial"/>
                <w:sz w:val="20"/>
                <w:szCs w:val="20"/>
              </w:rPr>
            </w:pPr>
            <w:r w:rsidRPr="00071A86">
              <w:rPr>
                <w:rFonts w:cs="Arial"/>
                <w:sz w:val="20"/>
                <w:szCs w:val="20"/>
              </w:rPr>
              <w:t>RMS Energy Consulting, LLC.</w:t>
            </w:r>
          </w:p>
        </w:tc>
        <w:tc>
          <w:tcPr>
            <w:tcW w:w="2596" w:type="pct"/>
          </w:tcPr>
          <w:p w14:paraId="74FA339A" w14:textId="77777777" w:rsidR="00EE0116" w:rsidRPr="00071A86" w:rsidRDefault="00EE0116" w:rsidP="00036EFF">
            <w:pPr>
              <w:keepNext/>
              <w:keepLines/>
              <w:spacing w:before="20" w:after="20"/>
              <w:rPr>
                <w:rFonts w:cs="Calibri Light"/>
                <w:sz w:val="20"/>
                <w:szCs w:val="20"/>
              </w:rPr>
            </w:pPr>
            <w:r w:rsidRPr="00071A86">
              <w:rPr>
                <w:rFonts w:cs="Calibri Light"/>
                <w:sz w:val="20"/>
                <w:szCs w:val="20"/>
              </w:rPr>
              <w:t>Draft of consolidated text for this statewide measure is based upon:</w:t>
            </w:r>
          </w:p>
          <w:p w14:paraId="74AF1E9A" w14:textId="77777777" w:rsidR="00EE0116" w:rsidRPr="00071A86" w:rsidRDefault="00EE0116" w:rsidP="00036EFF">
            <w:pPr>
              <w:keepNext/>
              <w:keepLines/>
              <w:spacing w:before="20" w:after="20"/>
              <w:rPr>
                <w:rFonts w:cs="Calibri Light"/>
                <w:sz w:val="20"/>
                <w:szCs w:val="20"/>
              </w:rPr>
            </w:pPr>
            <w:r w:rsidRPr="00071A86">
              <w:rPr>
                <w:rFonts w:cs="Calibri Light"/>
                <w:sz w:val="20"/>
                <w:szCs w:val="20"/>
              </w:rPr>
              <w:t xml:space="preserve">WPSCGNRWH160726A-Rev00 </w:t>
            </w:r>
          </w:p>
          <w:p w14:paraId="6C70C36F" w14:textId="7D35E3E4" w:rsidR="00EE0116" w:rsidRPr="00071A86" w:rsidRDefault="00EE0116" w:rsidP="00036EFF">
            <w:pPr>
              <w:keepNext/>
              <w:keepLines/>
              <w:spacing w:before="20" w:after="20"/>
              <w:rPr>
                <w:rFonts w:cs="Arial"/>
                <w:sz w:val="20"/>
                <w:szCs w:val="20"/>
              </w:rPr>
            </w:pPr>
          </w:p>
        </w:tc>
      </w:tr>
      <w:tr w:rsidR="00EE0116" w:rsidRPr="00CA1CB3" w14:paraId="2482D4F0" w14:textId="77777777" w:rsidTr="00071A86">
        <w:trPr>
          <w:trHeight w:val="899"/>
        </w:trPr>
        <w:tc>
          <w:tcPr>
            <w:tcW w:w="503" w:type="pct"/>
            <w:vMerge/>
          </w:tcPr>
          <w:p w14:paraId="3F78F5E2" w14:textId="77777777" w:rsidR="00EE0116" w:rsidRDefault="00EE0116" w:rsidP="00D60987">
            <w:pPr>
              <w:keepNext/>
              <w:keepLines/>
              <w:spacing w:before="20" w:after="20"/>
              <w:rPr>
                <w:rFonts w:cs="Arial"/>
                <w:sz w:val="20"/>
                <w:szCs w:val="20"/>
              </w:rPr>
            </w:pPr>
          </w:p>
        </w:tc>
        <w:tc>
          <w:tcPr>
            <w:tcW w:w="890" w:type="pct"/>
          </w:tcPr>
          <w:p w14:paraId="1E7DAED4" w14:textId="772B7B56" w:rsidR="00EE0116" w:rsidRPr="00071A86" w:rsidRDefault="00EE0116" w:rsidP="00D60987">
            <w:pPr>
              <w:keepNext/>
              <w:keepLines/>
              <w:spacing w:before="20" w:after="20"/>
              <w:rPr>
                <w:rFonts w:cs="Arial"/>
                <w:sz w:val="20"/>
                <w:szCs w:val="20"/>
              </w:rPr>
            </w:pPr>
            <w:r>
              <w:rPr>
                <w:rFonts w:cs="Arial"/>
                <w:sz w:val="20"/>
                <w:szCs w:val="20"/>
              </w:rPr>
              <w:t>01/30/2020</w:t>
            </w:r>
          </w:p>
        </w:tc>
        <w:tc>
          <w:tcPr>
            <w:tcW w:w="1011" w:type="pct"/>
          </w:tcPr>
          <w:p w14:paraId="56A8B8AE" w14:textId="4AD6E34F" w:rsidR="00EE0116" w:rsidRDefault="00EE0116" w:rsidP="00D60987">
            <w:pPr>
              <w:keepNext/>
              <w:keepLines/>
              <w:spacing w:before="20" w:after="20"/>
              <w:rPr>
                <w:rFonts w:cs="Arial"/>
                <w:sz w:val="20"/>
                <w:szCs w:val="20"/>
              </w:rPr>
            </w:pPr>
            <w:r>
              <w:rPr>
                <w:rFonts w:cs="Arial"/>
                <w:sz w:val="20"/>
                <w:szCs w:val="20"/>
              </w:rPr>
              <w:t>Raad Bashar, SoCalGas</w:t>
            </w:r>
          </w:p>
        </w:tc>
        <w:tc>
          <w:tcPr>
            <w:tcW w:w="2596" w:type="pct"/>
          </w:tcPr>
          <w:p w14:paraId="21C1D7DC" w14:textId="1004DCD5" w:rsidR="00EE0116" w:rsidRPr="00071A86" w:rsidRDefault="00EE0116" w:rsidP="00036EFF">
            <w:pPr>
              <w:keepNext/>
              <w:keepLines/>
              <w:spacing w:before="20" w:after="20"/>
              <w:rPr>
                <w:rFonts w:cs="Calibri Light"/>
                <w:sz w:val="20"/>
                <w:szCs w:val="20"/>
              </w:rPr>
            </w:pPr>
            <w:r w:rsidRPr="0097065C">
              <w:rPr>
                <w:rFonts w:cs="Calibri Light"/>
                <w:sz w:val="20"/>
                <w:szCs w:val="20"/>
              </w:rPr>
              <w:t xml:space="preserve">The </w:t>
            </w:r>
            <w:r>
              <w:rPr>
                <w:rFonts w:cs="Calibri Light"/>
                <w:sz w:val="20"/>
                <w:szCs w:val="20"/>
              </w:rPr>
              <w:t xml:space="preserve">comments from the </w:t>
            </w:r>
            <w:r w:rsidRPr="0097065C">
              <w:rPr>
                <w:rFonts w:cs="Calibri Light"/>
                <w:sz w:val="20"/>
                <w:szCs w:val="20"/>
              </w:rPr>
              <w:t xml:space="preserve">CPUC </w:t>
            </w:r>
            <w:proofErr w:type="spellStart"/>
            <w:r w:rsidRPr="0097065C">
              <w:rPr>
                <w:rFonts w:cs="Calibri Light"/>
                <w:sz w:val="20"/>
                <w:szCs w:val="20"/>
              </w:rPr>
              <w:t>ExA</w:t>
            </w:r>
            <w:proofErr w:type="spellEnd"/>
            <w:r w:rsidRPr="0097065C">
              <w:rPr>
                <w:rFonts w:cs="Calibri Light"/>
                <w:sz w:val="20"/>
                <w:szCs w:val="20"/>
              </w:rPr>
              <w:t xml:space="preserve"> team request</w:t>
            </w:r>
            <w:r>
              <w:rPr>
                <w:rFonts w:cs="Calibri Light"/>
                <w:sz w:val="20"/>
                <w:szCs w:val="20"/>
              </w:rPr>
              <w:t>ing</w:t>
            </w:r>
            <w:r w:rsidRPr="0097065C">
              <w:rPr>
                <w:rFonts w:cs="Calibri Light"/>
                <w:sz w:val="20"/>
                <w:szCs w:val="20"/>
              </w:rPr>
              <w:t xml:space="preserve"> additional information on 12/27/2019</w:t>
            </w:r>
            <w:r>
              <w:rPr>
                <w:rFonts w:cs="Calibri Light"/>
                <w:sz w:val="20"/>
                <w:szCs w:val="20"/>
              </w:rPr>
              <w:t>, were addressed as follows: Building</w:t>
            </w:r>
            <w:r>
              <w:t xml:space="preserve"> </w:t>
            </w:r>
            <w:r w:rsidRPr="00AA3167">
              <w:rPr>
                <w:rFonts w:cs="Calibri Light"/>
                <w:sz w:val="20"/>
                <w:szCs w:val="20"/>
              </w:rPr>
              <w:t>type was changed from Com to RFF and RSD</w:t>
            </w:r>
            <w:r>
              <w:rPr>
                <w:rFonts w:cs="Calibri Light"/>
                <w:sz w:val="20"/>
                <w:szCs w:val="20"/>
              </w:rPr>
              <w:t xml:space="preserve"> and building </w:t>
            </w:r>
            <w:r w:rsidRPr="00AA3167">
              <w:rPr>
                <w:rFonts w:cs="Calibri Light"/>
                <w:sz w:val="20"/>
                <w:szCs w:val="20"/>
              </w:rPr>
              <w:t>HVAC type was changed to Any</w:t>
            </w:r>
            <w:r>
              <w:rPr>
                <w:rFonts w:cs="Calibri Light"/>
                <w:sz w:val="20"/>
                <w:szCs w:val="20"/>
              </w:rPr>
              <w:t>.</w:t>
            </w:r>
          </w:p>
        </w:tc>
      </w:tr>
      <w:tr w:rsidR="00EE0116" w:rsidRPr="00CA1CB3" w14:paraId="7DC06275" w14:textId="77777777" w:rsidTr="00071A86">
        <w:trPr>
          <w:trHeight w:val="899"/>
        </w:trPr>
        <w:tc>
          <w:tcPr>
            <w:tcW w:w="503" w:type="pct"/>
            <w:vMerge/>
          </w:tcPr>
          <w:p w14:paraId="1362A6BD" w14:textId="77777777" w:rsidR="00EE0116" w:rsidRDefault="00EE0116" w:rsidP="00D60987">
            <w:pPr>
              <w:keepNext/>
              <w:keepLines/>
              <w:spacing w:before="20" w:after="20"/>
              <w:rPr>
                <w:rFonts w:cs="Arial"/>
                <w:sz w:val="20"/>
                <w:szCs w:val="20"/>
              </w:rPr>
            </w:pPr>
          </w:p>
        </w:tc>
        <w:tc>
          <w:tcPr>
            <w:tcW w:w="890" w:type="pct"/>
          </w:tcPr>
          <w:p w14:paraId="4AA34C0B" w14:textId="63CC905E" w:rsidR="00EE0116" w:rsidRDefault="00EE0116" w:rsidP="00D60987">
            <w:pPr>
              <w:keepNext/>
              <w:keepLines/>
              <w:spacing w:before="20" w:after="20"/>
              <w:rPr>
                <w:rFonts w:cs="Arial"/>
                <w:sz w:val="20"/>
                <w:szCs w:val="20"/>
              </w:rPr>
            </w:pPr>
            <w:r>
              <w:rPr>
                <w:rFonts w:cs="Arial"/>
                <w:sz w:val="20"/>
                <w:szCs w:val="20"/>
              </w:rPr>
              <w:t>5/27/2020</w:t>
            </w:r>
          </w:p>
        </w:tc>
        <w:tc>
          <w:tcPr>
            <w:tcW w:w="1011" w:type="pct"/>
          </w:tcPr>
          <w:p w14:paraId="75A9225A" w14:textId="277D284A" w:rsidR="00EE0116" w:rsidRDefault="00EE0116" w:rsidP="00D60987">
            <w:pPr>
              <w:keepNext/>
              <w:keepLines/>
              <w:spacing w:before="20" w:after="20"/>
              <w:rPr>
                <w:rFonts w:cs="Arial"/>
                <w:sz w:val="20"/>
                <w:szCs w:val="20"/>
              </w:rPr>
            </w:pPr>
            <w:r>
              <w:rPr>
                <w:rFonts w:cs="Arial"/>
                <w:sz w:val="20"/>
                <w:szCs w:val="20"/>
              </w:rPr>
              <w:t>Eduardo Reynoso, SDG&amp;E</w:t>
            </w:r>
          </w:p>
        </w:tc>
        <w:tc>
          <w:tcPr>
            <w:tcW w:w="2596" w:type="pct"/>
          </w:tcPr>
          <w:p w14:paraId="7497C729" w14:textId="58C1083F" w:rsidR="00EE0116" w:rsidRPr="0097065C" w:rsidRDefault="008A1EF8" w:rsidP="00036EFF">
            <w:pPr>
              <w:keepNext/>
              <w:keepLines/>
              <w:spacing w:before="20" w:after="20"/>
              <w:rPr>
                <w:rFonts w:cs="Calibri Light"/>
                <w:sz w:val="20"/>
                <w:szCs w:val="20"/>
              </w:rPr>
            </w:pPr>
            <w:r>
              <w:rPr>
                <w:rFonts w:cs="Calibri Light"/>
                <w:sz w:val="20"/>
                <w:szCs w:val="20"/>
              </w:rPr>
              <w:t>Workpaper measure adoption by SDG&amp;E, no changes to energy efficiency savings or cost. Updated Ex-ante Implementation data table. No other changes.</w:t>
            </w:r>
          </w:p>
        </w:tc>
      </w:tr>
    </w:tbl>
    <w:p w14:paraId="5C9CAB2A" w14:textId="77777777" w:rsidR="00085726" w:rsidRDefault="00085726" w:rsidP="00387072">
      <w:bookmarkStart w:id="78" w:name="_GoBack"/>
      <w:bookmarkEnd w:id="74"/>
      <w:bookmarkEnd w:id="75"/>
      <w:bookmarkEnd w:id="77"/>
      <w:bookmarkEnd w:id="78"/>
    </w:p>
    <w:sectPr w:rsidR="00085726"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CFDDF" w14:textId="77777777" w:rsidR="00CB3094" w:rsidRDefault="00CB3094" w:rsidP="00A2690C">
      <w:r>
        <w:separator/>
      </w:r>
    </w:p>
    <w:p w14:paraId="754447B3" w14:textId="77777777" w:rsidR="00CB3094" w:rsidRDefault="00CB3094"/>
  </w:endnote>
  <w:endnote w:type="continuationSeparator" w:id="0">
    <w:p w14:paraId="52C13364" w14:textId="77777777" w:rsidR="00CB3094" w:rsidRDefault="00CB3094" w:rsidP="00A2690C">
      <w:r>
        <w:continuationSeparator/>
      </w:r>
    </w:p>
    <w:p w14:paraId="58DD66AF" w14:textId="77777777" w:rsidR="00CB3094" w:rsidRDefault="00CB30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6B4A4F" w:rsidRDefault="006B4A4F"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6B4A4F" w:rsidRPr="00B837C1" w:rsidRDefault="006B4A4F"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6B4A4F" w:rsidRDefault="006B4A4F"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6B4A4F" w:rsidRPr="00B837C1" w:rsidRDefault="006B4A4F"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6B4A4F" w:rsidRDefault="006B4A4F"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6B4A4F" w:rsidRPr="005F505E" w:rsidRDefault="006B4A4F"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C1900" w14:textId="77777777" w:rsidR="00CB3094" w:rsidRDefault="00CB3094" w:rsidP="00A2690C">
      <w:r>
        <w:separator/>
      </w:r>
    </w:p>
    <w:p w14:paraId="0277F5BD" w14:textId="77777777" w:rsidR="00CB3094" w:rsidRDefault="00CB3094"/>
  </w:footnote>
  <w:footnote w:type="continuationSeparator" w:id="0">
    <w:p w14:paraId="580ADCA0" w14:textId="77777777" w:rsidR="00CB3094" w:rsidRDefault="00CB3094" w:rsidP="00A2690C">
      <w:r>
        <w:continuationSeparator/>
      </w:r>
    </w:p>
    <w:p w14:paraId="33BEC775" w14:textId="77777777" w:rsidR="00CB3094" w:rsidRDefault="00CB3094"/>
  </w:footnote>
  <w:footnote w:id="1">
    <w:p w14:paraId="04678F06" w14:textId="32E3269F" w:rsidR="006B4A4F" w:rsidRDefault="006B4A4F" w:rsidP="00880BAD">
      <w:pPr>
        <w:pStyle w:val="FootnoteText"/>
      </w:pPr>
      <w:r>
        <w:rPr>
          <w:rStyle w:val="FootnoteReference"/>
        </w:rPr>
        <w:footnoteRef/>
      </w:r>
      <w:r>
        <w:t xml:space="preserve">  </w:t>
      </w:r>
      <w:r w:rsidR="001C6949" w:rsidRPr="001C6949">
        <w:t>Rheem H2AC Rooftop Unit Product Brochure</w:t>
      </w:r>
      <w:r w:rsidR="001C6949">
        <w:t>.pdf</w:t>
      </w:r>
    </w:p>
  </w:footnote>
  <w:footnote w:id="2">
    <w:p w14:paraId="1546CCD6" w14:textId="6C1E7CB3" w:rsidR="006B4A4F" w:rsidRDefault="006B4A4F">
      <w:pPr>
        <w:pStyle w:val="FootnoteText"/>
      </w:pPr>
      <w:r>
        <w:rPr>
          <w:rStyle w:val="FootnoteReference"/>
        </w:rPr>
        <w:footnoteRef/>
      </w:r>
      <w:r>
        <w:t xml:space="preserve"> Guernsey, M. (Navigant Consulting, Inc.). 2016. Portfolio of the Future: </w:t>
      </w:r>
      <w:r w:rsidRPr="002B6439">
        <w:rPr>
          <w:i/>
          <w:iCs/>
        </w:rPr>
        <w:t xml:space="preserve">Field Testing Report – Rheem H2AC at a Quick-Serve Restaurant. </w:t>
      </w:r>
      <w:r>
        <w:t>Prepared for the Southern California Gas Company (SCG). July.</w:t>
      </w:r>
    </w:p>
  </w:footnote>
  <w:footnote w:id="3">
    <w:p w14:paraId="56E41521" w14:textId="41BF48C6" w:rsidR="006B4A4F" w:rsidRDefault="006B4A4F">
      <w:pPr>
        <w:pStyle w:val="FootnoteText"/>
      </w:pPr>
      <w:r>
        <w:rPr>
          <w:rStyle w:val="FootnoteReference"/>
        </w:rPr>
        <w:footnoteRef/>
      </w:r>
      <w:r>
        <w:t xml:space="preserve"> Guernsey, M. (Navigant Consulting, Inc.). 2016. Portfolio of the Future: </w:t>
      </w:r>
      <w:r w:rsidRPr="005306AE">
        <w:rPr>
          <w:i/>
          <w:iCs/>
        </w:rPr>
        <w:t xml:space="preserve">Field Testing Report – Rheem H2AC at a Quick-Serve Restaurant. </w:t>
      </w:r>
      <w:r>
        <w:t>Prepared for the Southern California Gas Company (SCG). July.</w:t>
      </w:r>
    </w:p>
  </w:footnote>
  <w:footnote w:id="4">
    <w:p w14:paraId="79057608" w14:textId="575A1CC4" w:rsidR="006B4A4F" w:rsidRDefault="006B4A4F">
      <w:pPr>
        <w:pStyle w:val="FootnoteText"/>
      </w:pPr>
      <w:r>
        <w:rPr>
          <w:rStyle w:val="FootnoteReference"/>
        </w:rPr>
        <w:footnoteRef/>
      </w:r>
      <w:r>
        <w:t xml:space="preserve"> </w:t>
      </w:r>
      <w:r w:rsidRPr="00A44209">
        <w:rPr>
          <w:iCs/>
        </w:rPr>
        <w:t>Southern California Gas Company (SCG). 2019. “SWHC048-01 KFUL_CDD_65F.csv.”</w:t>
      </w:r>
    </w:p>
  </w:footnote>
  <w:footnote w:id="5">
    <w:p w14:paraId="55E77E92" w14:textId="2D6364E6" w:rsidR="006B4A4F" w:rsidRDefault="006B4A4F">
      <w:pPr>
        <w:pStyle w:val="FootnoteText"/>
      </w:pPr>
      <w:r>
        <w:rPr>
          <w:rStyle w:val="FootnoteReference"/>
        </w:rPr>
        <w:footnoteRef/>
      </w:r>
      <w:r>
        <w:t xml:space="preserve"> </w:t>
      </w:r>
      <w:r w:rsidR="00FD6E76">
        <w:t xml:space="preserve">Guernsey, M. (Navigant Consulting, Inc.). 2016. Portfolio of the Future: </w:t>
      </w:r>
      <w:r w:rsidR="00FD6E76" w:rsidRPr="002B6439">
        <w:rPr>
          <w:i/>
          <w:iCs/>
        </w:rPr>
        <w:t xml:space="preserve">Field Testing Report – Rheem H2AC at a Quick-Serve Restaurant. </w:t>
      </w:r>
      <w:r w:rsidR="00FD6E76">
        <w:t>Prepared for the Southern California Gas Company (SCG). July.</w:t>
      </w:r>
    </w:p>
  </w:footnote>
  <w:footnote w:id="6">
    <w:p w14:paraId="22B76B24" w14:textId="297E99D2" w:rsidR="006B4A4F" w:rsidRDefault="006B4A4F">
      <w:pPr>
        <w:pStyle w:val="FootnoteText"/>
      </w:pPr>
      <w:r>
        <w:rPr>
          <w:rStyle w:val="FootnoteReference"/>
        </w:rPr>
        <w:footnoteRef/>
      </w:r>
      <w:r>
        <w:t xml:space="preserve"> </w:t>
      </w:r>
      <w:r w:rsidRPr="00A44209">
        <w:rPr>
          <w:iCs/>
        </w:rPr>
        <w:t>Southern California Gas Company (SCG). 2019. “SWHC048-01 KFUL_CDD_42F.csv.”</w:t>
      </w:r>
    </w:p>
  </w:footnote>
  <w:footnote w:id="7">
    <w:p w14:paraId="37AC501E" w14:textId="5FAD6AA2" w:rsidR="006B4A4F" w:rsidRDefault="006B4A4F">
      <w:pPr>
        <w:pStyle w:val="FootnoteText"/>
      </w:pPr>
      <w:r>
        <w:rPr>
          <w:rStyle w:val="FootnoteReference"/>
        </w:rPr>
        <w:footnoteRef/>
      </w:r>
      <w:r>
        <w:t xml:space="preserve"> </w:t>
      </w:r>
      <w:r w:rsidRPr="00A44209">
        <w:rPr>
          <w:iCs/>
        </w:rPr>
        <w:t>Southern California Gas Company (SCG). 2019. “SWHC048 Test Pilot Raw Data.xlsx.”</w:t>
      </w:r>
    </w:p>
  </w:footnote>
  <w:footnote w:id="8">
    <w:p w14:paraId="2C2651AF" w14:textId="4EAF083A" w:rsidR="006B4A4F" w:rsidRDefault="006B4A4F">
      <w:pPr>
        <w:pStyle w:val="FootnoteText"/>
      </w:pPr>
      <w:r>
        <w:rPr>
          <w:rStyle w:val="FootnoteReference"/>
        </w:rPr>
        <w:footnoteRef/>
      </w:r>
      <w:r>
        <w:t xml:space="preserve"> </w:t>
      </w:r>
      <w:r w:rsidR="00253D4D" w:rsidRPr="00253D4D">
        <w:t>CompareWeatherData-v4</w:t>
      </w:r>
    </w:p>
  </w:footnote>
  <w:footnote w:id="9">
    <w:p w14:paraId="5111F952" w14:textId="77777777" w:rsidR="006B4A4F" w:rsidRDefault="006B4A4F" w:rsidP="00BC5A43">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0">
    <w:p w14:paraId="39968C91" w14:textId="77777777" w:rsidR="006B4A4F" w:rsidRDefault="006B4A4F"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1">
    <w:p w14:paraId="5F9B5EFB" w14:textId="77777777" w:rsidR="006B4A4F" w:rsidRDefault="006B4A4F"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2">
    <w:p w14:paraId="05A562E0" w14:textId="66892702" w:rsidR="006B4A4F" w:rsidRDefault="006B4A4F">
      <w:pPr>
        <w:pStyle w:val="FootnoteText"/>
      </w:pPr>
      <w:r>
        <w:rPr>
          <w:rStyle w:val="FootnoteReference"/>
        </w:rPr>
        <w:footnoteRef/>
      </w:r>
      <w:r>
        <w:t xml:space="preserve"> Southern California Gas Company (SCG). 2019. “SWHC048-01 Cost Analysis.xlsx.” </w:t>
      </w:r>
    </w:p>
    <w:p w14:paraId="36AA590F" w14:textId="6076F585" w:rsidR="006B4A4F" w:rsidRDefault="006B4A4F">
      <w:pPr>
        <w:pStyle w:val="FootnoteText"/>
      </w:pPr>
      <w:r>
        <w:t xml:space="preserve">Guernsey, M. (Navigant Consulting, Inc.). 2016. Portfolio of the Future: </w:t>
      </w:r>
      <w:r w:rsidRPr="002B6439">
        <w:rPr>
          <w:i/>
          <w:iCs/>
        </w:rPr>
        <w:t xml:space="preserve">Field Testing Report – Rheem H2AC at a Quick-Serve Restaurant. </w:t>
      </w:r>
      <w:r>
        <w:t>Prepared for the Southern California Gas Company (SCG). July. See Appendix B.</w:t>
      </w:r>
    </w:p>
    <w:p w14:paraId="3AE38FC6" w14:textId="523B7C13" w:rsidR="006B4A4F" w:rsidRPr="00EB35A4" w:rsidRDefault="006B4A4F">
      <w:pPr>
        <w:pStyle w:val="FootnoteText"/>
      </w:pPr>
      <w:r>
        <w:t>Vadnal, H. (Gas Technology Institute, GTE). 2015. “Rheem H</w:t>
      </w:r>
      <w:r>
        <w:rPr>
          <w:vertAlign w:val="subscript"/>
        </w:rPr>
        <w:t>2</w:t>
      </w:r>
      <w:r>
        <w:t xml:space="preserve">AC </w:t>
      </w:r>
      <w:r w:rsidRPr="0033389C">
        <w:rPr>
          <w:vertAlign w:val="superscript"/>
        </w:rPr>
        <w:t>TM</w:t>
      </w:r>
      <w:r>
        <w:t xml:space="preserve"> integrated Air and Water RTU.” Presented at the ACEEE Hot Water Forum. February 22.</w:t>
      </w:r>
    </w:p>
  </w:footnote>
  <w:footnote w:id="13">
    <w:p w14:paraId="025EBF89" w14:textId="2901D208" w:rsidR="006B4A4F" w:rsidRDefault="006B4A4F" w:rsidP="007B6170">
      <w:pPr>
        <w:pStyle w:val="FootnoteText"/>
      </w:pPr>
      <w:r>
        <w:rPr>
          <w:rStyle w:val="FootnoteReference"/>
        </w:rPr>
        <w:footnoteRef/>
      </w:r>
      <w:r>
        <w:t xml:space="preserve"> Southern California Gas Company (SCG). 2019. “SWHC048-01 Cost Analysis.xlsx.”</w:t>
      </w:r>
    </w:p>
    <w:p w14:paraId="45E3583E" w14:textId="51471E19" w:rsidR="006B4A4F" w:rsidRDefault="006B4A4F" w:rsidP="007B6170">
      <w:pPr>
        <w:pStyle w:val="FootnoteText"/>
      </w:pPr>
      <w:r>
        <w:t xml:space="preserve">Guernsey, M. (Navigant Consulting, Inc.). 2016. Portfolio of the Future: </w:t>
      </w:r>
      <w:r w:rsidRPr="002B6439">
        <w:rPr>
          <w:i/>
          <w:iCs/>
        </w:rPr>
        <w:t xml:space="preserve">Field Testing Report – Rheem H2AC at a Quick-Serve Restaurant. </w:t>
      </w:r>
      <w:r>
        <w:t>Prepared for the Southern California Gas Company (SCG). July. See Appendix B.</w:t>
      </w:r>
    </w:p>
    <w:p w14:paraId="6103DB76" w14:textId="3332CC3E" w:rsidR="006B4A4F" w:rsidRDefault="006B4A4F" w:rsidP="007B6170">
      <w:pPr>
        <w:pStyle w:val="FootnoteText"/>
      </w:pPr>
      <w:r>
        <w:t>Vadnal, H. (Gas Technology Institute, GTE). 2015. “Rheem H</w:t>
      </w:r>
      <w:r>
        <w:rPr>
          <w:vertAlign w:val="subscript"/>
        </w:rPr>
        <w:t>2</w:t>
      </w:r>
      <w:r>
        <w:t xml:space="preserve">AC </w:t>
      </w:r>
      <w:r w:rsidRPr="002B6439">
        <w:rPr>
          <w:vertAlign w:val="superscript"/>
        </w:rPr>
        <w:t>TM</w:t>
      </w:r>
      <w:r>
        <w:t xml:space="preserve"> integrated Air and Water RTU.” Presented at the ACEEE Hot Water Forum. February 22.</w:t>
      </w:r>
    </w:p>
  </w:footnote>
  <w:footnote w:id="14">
    <w:p w14:paraId="447B249C" w14:textId="331B466C" w:rsidR="006B4A4F" w:rsidRDefault="006B4A4F">
      <w:pPr>
        <w:pStyle w:val="FootnoteText"/>
      </w:pPr>
      <w:r>
        <w:rPr>
          <w:rStyle w:val="FootnoteReference"/>
        </w:rPr>
        <w:footnoteRef/>
      </w:r>
      <w:r>
        <w:t xml:space="preserve"> Southern California Gas Company (SCG). 2019. “SWHC048-01 Cost Analysis.xlsx.”</w:t>
      </w:r>
    </w:p>
    <w:p w14:paraId="386974A4" w14:textId="2742069C" w:rsidR="006B4A4F" w:rsidRDefault="006B4A4F">
      <w:pPr>
        <w:pStyle w:val="FootnoteText"/>
      </w:pPr>
      <w:r>
        <w:t xml:space="preserve">Guernsey, M. (Navigant Consulting, Inc.). 2016. Portfolio of the Future: </w:t>
      </w:r>
      <w:r w:rsidRPr="002B6439">
        <w:rPr>
          <w:i/>
          <w:iCs/>
        </w:rPr>
        <w:t xml:space="preserve">Field Testing Report – Rheem H2AC at a Quick-Serve Restaurant. </w:t>
      </w:r>
      <w:r>
        <w:t>Prepared for the Southern California Gas Company (SCG). July. See Appendix B.</w:t>
      </w:r>
    </w:p>
  </w:footnote>
  <w:footnote w:id="15">
    <w:p w14:paraId="4E5EAECF" w14:textId="65149EDB" w:rsidR="006B4A4F" w:rsidRDefault="006B4A4F" w:rsidP="009A3A85">
      <w:pPr>
        <w:pStyle w:val="FootnoteText"/>
      </w:pPr>
      <w:r>
        <w:rPr>
          <w:rStyle w:val="FootnoteReference"/>
        </w:rPr>
        <w:footnoteRef/>
      </w:r>
      <w:r>
        <w:t xml:space="preserve"> Southern California Gas Company (SCG). 2019. “SWHC048-01 Cost Analysis.xlsx.”</w:t>
      </w:r>
    </w:p>
    <w:p w14:paraId="631F35BC" w14:textId="3D39B94C" w:rsidR="006B4A4F" w:rsidRDefault="006B4A4F" w:rsidP="009A3A85">
      <w:pPr>
        <w:pStyle w:val="FootnoteText"/>
      </w:pPr>
      <w:r>
        <w:t xml:space="preserve">Guernsey, M. (Navigant Consulting, Inc.). 2016. Portfolio of the Future: </w:t>
      </w:r>
      <w:r w:rsidRPr="002B6439">
        <w:rPr>
          <w:i/>
          <w:iCs/>
        </w:rPr>
        <w:t xml:space="preserve">Field Testing Report – Rheem H2AC at a Quick-Serve Restaurant. </w:t>
      </w:r>
      <w:r>
        <w:t>Prepared for the Southern California Gas Company (SCG). July. See Appendix 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6B4A4F" w:rsidRPr="000220A0" w:rsidRDefault="006B4A4F"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6B4A4F" w:rsidRDefault="006B4A4F">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6B4A4F" w:rsidRDefault="006B4A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6B4A4F" w:rsidRDefault="006B4A4F" w:rsidP="00BD221D">
    <w:pPr>
      <w:jc w:val="center"/>
    </w:pPr>
  </w:p>
  <w:p w14:paraId="342310D5" w14:textId="5BACBCD8" w:rsidR="006B4A4F" w:rsidRDefault="006B4A4F"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0F02363D" w:rsidR="006B4A4F" w:rsidRPr="00C503EE" w:rsidRDefault="006B4A4F"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 xml:space="preserve">Packaged Air Conditioner Heat Recovery, Commercial </w:t>
    </w:r>
  </w:p>
  <w:p w14:paraId="2AC97B25" w14:textId="77777777" w:rsidR="006B4A4F" w:rsidRDefault="006B4A4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6B4A4F" w:rsidRDefault="006B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A63D5E"/>
    <w:multiLevelType w:val="hybridMultilevel"/>
    <w:tmpl w:val="84F40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7F6628"/>
    <w:multiLevelType w:val="hybridMultilevel"/>
    <w:tmpl w:val="69FA3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452AF"/>
    <w:multiLevelType w:val="hybridMultilevel"/>
    <w:tmpl w:val="AE28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2"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C830737"/>
    <w:multiLevelType w:val="hybridMultilevel"/>
    <w:tmpl w:val="080881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0802CA"/>
    <w:multiLevelType w:val="hybridMultilevel"/>
    <w:tmpl w:val="5444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9" w15:restartNumberingAfterBreak="0">
    <w:nsid w:val="5FD0692F"/>
    <w:multiLevelType w:val="hybridMultilevel"/>
    <w:tmpl w:val="A4BAF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7505FD"/>
    <w:multiLevelType w:val="hybridMultilevel"/>
    <w:tmpl w:val="3E1AC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03E5E"/>
    <w:multiLevelType w:val="hybridMultilevel"/>
    <w:tmpl w:val="A0CE8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C07B80"/>
    <w:multiLevelType w:val="hybridMultilevel"/>
    <w:tmpl w:val="2F262170"/>
    <w:lvl w:ilvl="0" w:tplc="1728A3D4">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5"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1"/>
  </w:num>
  <w:num w:numId="2">
    <w:abstractNumId w:val="24"/>
  </w:num>
  <w:num w:numId="3">
    <w:abstractNumId w:val="26"/>
  </w:num>
  <w:num w:numId="4">
    <w:abstractNumId w:val="26"/>
  </w:num>
  <w:num w:numId="5">
    <w:abstractNumId w:val="18"/>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23"/>
  </w:num>
  <w:num w:numId="9">
    <w:abstractNumId w:val="0"/>
  </w:num>
  <w:num w:numId="10">
    <w:abstractNumId w:val="25"/>
  </w:num>
  <w:num w:numId="11">
    <w:abstractNumId w:val="7"/>
  </w:num>
  <w:num w:numId="12">
    <w:abstractNumId w:val="4"/>
  </w:num>
  <w:num w:numId="13">
    <w:abstractNumId w:val="20"/>
  </w:num>
  <w:num w:numId="14">
    <w:abstractNumId w:val="15"/>
  </w:num>
  <w:num w:numId="15">
    <w:abstractNumId w:val="5"/>
  </w:num>
  <w:num w:numId="16">
    <w:abstractNumId w:val="12"/>
  </w:num>
  <w:num w:numId="17">
    <w:abstractNumId w:val="17"/>
  </w:num>
  <w:num w:numId="18">
    <w:abstractNumId w:val="22"/>
  </w:num>
  <w:num w:numId="19">
    <w:abstractNumId w:val="9"/>
  </w:num>
  <w:num w:numId="20">
    <w:abstractNumId w:val="21"/>
  </w:num>
  <w:num w:numId="21">
    <w:abstractNumId w:val="2"/>
  </w:num>
  <w:num w:numId="22">
    <w:abstractNumId w:val="16"/>
  </w:num>
  <w:num w:numId="23">
    <w:abstractNumId w:val="3"/>
  </w:num>
  <w:num w:numId="24">
    <w:abstractNumId w:val="14"/>
  </w:num>
  <w:num w:numId="25">
    <w:abstractNumId w:val="19"/>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DU1MrYwsbC0tDBU0lEKTi0uzszPAykwqwUA7O4ELCwAAAA="/>
  </w:docVars>
  <w:rsids>
    <w:rsidRoot w:val="00C41A08"/>
    <w:rsid w:val="0000521D"/>
    <w:rsid w:val="00005B06"/>
    <w:rsid w:val="000063B0"/>
    <w:rsid w:val="000110D9"/>
    <w:rsid w:val="000111AF"/>
    <w:rsid w:val="00016928"/>
    <w:rsid w:val="000220A0"/>
    <w:rsid w:val="000229F1"/>
    <w:rsid w:val="000232D7"/>
    <w:rsid w:val="000236F0"/>
    <w:rsid w:val="0002389A"/>
    <w:rsid w:val="0002482C"/>
    <w:rsid w:val="00026D58"/>
    <w:rsid w:val="00030286"/>
    <w:rsid w:val="000302DF"/>
    <w:rsid w:val="00031184"/>
    <w:rsid w:val="00036EFF"/>
    <w:rsid w:val="00037A06"/>
    <w:rsid w:val="00042456"/>
    <w:rsid w:val="00046BB0"/>
    <w:rsid w:val="00047E10"/>
    <w:rsid w:val="00051DBB"/>
    <w:rsid w:val="00052C95"/>
    <w:rsid w:val="000530E4"/>
    <w:rsid w:val="000540D7"/>
    <w:rsid w:val="0005587A"/>
    <w:rsid w:val="0005662E"/>
    <w:rsid w:val="00061D34"/>
    <w:rsid w:val="000621A8"/>
    <w:rsid w:val="000624F7"/>
    <w:rsid w:val="000636E4"/>
    <w:rsid w:val="00065642"/>
    <w:rsid w:val="00065E54"/>
    <w:rsid w:val="000672E5"/>
    <w:rsid w:val="00071A86"/>
    <w:rsid w:val="00074E3E"/>
    <w:rsid w:val="00075297"/>
    <w:rsid w:val="000767E9"/>
    <w:rsid w:val="0008108C"/>
    <w:rsid w:val="00082725"/>
    <w:rsid w:val="00083A78"/>
    <w:rsid w:val="000841AA"/>
    <w:rsid w:val="00084EDF"/>
    <w:rsid w:val="00085726"/>
    <w:rsid w:val="00087FD4"/>
    <w:rsid w:val="00090B28"/>
    <w:rsid w:val="00090BBF"/>
    <w:rsid w:val="000910B7"/>
    <w:rsid w:val="00091581"/>
    <w:rsid w:val="00094517"/>
    <w:rsid w:val="00094B2B"/>
    <w:rsid w:val="00096485"/>
    <w:rsid w:val="000978C8"/>
    <w:rsid w:val="000A270E"/>
    <w:rsid w:val="000A4D3A"/>
    <w:rsid w:val="000A62EF"/>
    <w:rsid w:val="000A66B7"/>
    <w:rsid w:val="000A7058"/>
    <w:rsid w:val="000B139B"/>
    <w:rsid w:val="000B30B0"/>
    <w:rsid w:val="000B6004"/>
    <w:rsid w:val="000B7F33"/>
    <w:rsid w:val="000C2D4B"/>
    <w:rsid w:val="000C36B4"/>
    <w:rsid w:val="000C5BA6"/>
    <w:rsid w:val="000C72C1"/>
    <w:rsid w:val="000C7B77"/>
    <w:rsid w:val="000D5547"/>
    <w:rsid w:val="000D6C1A"/>
    <w:rsid w:val="000E044A"/>
    <w:rsid w:val="000E30CF"/>
    <w:rsid w:val="000E4EB1"/>
    <w:rsid w:val="000F1833"/>
    <w:rsid w:val="000F5D2C"/>
    <w:rsid w:val="000F77FA"/>
    <w:rsid w:val="00103399"/>
    <w:rsid w:val="0010471F"/>
    <w:rsid w:val="00104933"/>
    <w:rsid w:val="00111A53"/>
    <w:rsid w:val="0011460A"/>
    <w:rsid w:val="0011498C"/>
    <w:rsid w:val="00120592"/>
    <w:rsid w:val="001217DF"/>
    <w:rsid w:val="0012187D"/>
    <w:rsid w:val="00124BFE"/>
    <w:rsid w:val="00126809"/>
    <w:rsid w:val="00126B25"/>
    <w:rsid w:val="00131C5A"/>
    <w:rsid w:val="00131FA0"/>
    <w:rsid w:val="00132E1A"/>
    <w:rsid w:val="00142D3C"/>
    <w:rsid w:val="001451AB"/>
    <w:rsid w:val="001452A9"/>
    <w:rsid w:val="00151553"/>
    <w:rsid w:val="00151B9F"/>
    <w:rsid w:val="00152749"/>
    <w:rsid w:val="00153BB7"/>
    <w:rsid w:val="00154391"/>
    <w:rsid w:val="001564FC"/>
    <w:rsid w:val="00157985"/>
    <w:rsid w:val="00161DF1"/>
    <w:rsid w:val="001648F6"/>
    <w:rsid w:val="00164D8D"/>
    <w:rsid w:val="00171BB8"/>
    <w:rsid w:val="00174707"/>
    <w:rsid w:val="00177EB6"/>
    <w:rsid w:val="00180DAD"/>
    <w:rsid w:val="00181672"/>
    <w:rsid w:val="00181E01"/>
    <w:rsid w:val="001831F7"/>
    <w:rsid w:val="00186233"/>
    <w:rsid w:val="00190874"/>
    <w:rsid w:val="001944A0"/>
    <w:rsid w:val="001944B4"/>
    <w:rsid w:val="00195B03"/>
    <w:rsid w:val="00196649"/>
    <w:rsid w:val="001A11C7"/>
    <w:rsid w:val="001A4BE1"/>
    <w:rsid w:val="001A7A21"/>
    <w:rsid w:val="001B0D29"/>
    <w:rsid w:val="001B1D23"/>
    <w:rsid w:val="001B426F"/>
    <w:rsid w:val="001C2ACE"/>
    <w:rsid w:val="001C6949"/>
    <w:rsid w:val="001C6C9B"/>
    <w:rsid w:val="001C7134"/>
    <w:rsid w:val="001D5580"/>
    <w:rsid w:val="001D656F"/>
    <w:rsid w:val="001D65A6"/>
    <w:rsid w:val="001D7A57"/>
    <w:rsid w:val="001E19A3"/>
    <w:rsid w:val="001E4C3F"/>
    <w:rsid w:val="001E6273"/>
    <w:rsid w:val="001F00E9"/>
    <w:rsid w:val="001F240C"/>
    <w:rsid w:val="001F735E"/>
    <w:rsid w:val="002005A8"/>
    <w:rsid w:val="002006B6"/>
    <w:rsid w:val="00200A79"/>
    <w:rsid w:val="00205BAF"/>
    <w:rsid w:val="00207F85"/>
    <w:rsid w:val="0021226A"/>
    <w:rsid w:val="0021230E"/>
    <w:rsid w:val="00224A16"/>
    <w:rsid w:val="00225142"/>
    <w:rsid w:val="00226694"/>
    <w:rsid w:val="00227BDD"/>
    <w:rsid w:val="002318A4"/>
    <w:rsid w:val="002335FF"/>
    <w:rsid w:val="00233D87"/>
    <w:rsid w:val="0023666C"/>
    <w:rsid w:val="00236692"/>
    <w:rsid w:val="00236E0A"/>
    <w:rsid w:val="00237964"/>
    <w:rsid w:val="002434DE"/>
    <w:rsid w:val="00245AFF"/>
    <w:rsid w:val="0024628D"/>
    <w:rsid w:val="0024690E"/>
    <w:rsid w:val="00251ABC"/>
    <w:rsid w:val="00252039"/>
    <w:rsid w:val="002524CF"/>
    <w:rsid w:val="00253125"/>
    <w:rsid w:val="00253D4D"/>
    <w:rsid w:val="00256400"/>
    <w:rsid w:val="00256665"/>
    <w:rsid w:val="0026110B"/>
    <w:rsid w:val="002652D2"/>
    <w:rsid w:val="00271B18"/>
    <w:rsid w:val="00272C35"/>
    <w:rsid w:val="00275F57"/>
    <w:rsid w:val="00276F9B"/>
    <w:rsid w:val="002831E7"/>
    <w:rsid w:val="00284426"/>
    <w:rsid w:val="00287AE8"/>
    <w:rsid w:val="002942B0"/>
    <w:rsid w:val="0029555D"/>
    <w:rsid w:val="0029757F"/>
    <w:rsid w:val="0029781E"/>
    <w:rsid w:val="002A158E"/>
    <w:rsid w:val="002A1953"/>
    <w:rsid w:val="002A2471"/>
    <w:rsid w:val="002A2A94"/>
    <w:rsid w:val="002B107C"/>
    <w:rsid w:val="002B2C97"/>
    <w:rsid w:val="002B3BF4"/>
    <w:rsid w:val="002B6DED"/>
    <w:rsid w:val="002B6F2A"/>
    <w:rsid w:val="002C06FC"/>
    <w:rsid w:val="002C1117"/>
    <w:rsid w:val="002C5226"/>
    <w:rsid w:val="002C67DF"/>
    <w:rsid w:val="002D0036"/>
    <w:rsid w:val="002D17CE"/>
    <w:rsid w:val="002D29F8"/>
    <w:rsid w:val="002D40EE"/>
    <w:rsid w:val="002D4993"/>
    <w:rsid w:val="002D50E9"/>
    <w:rsid w:val="002D5CFA"/>
    <w:rsid w:val="002E5874"/>
    <w:rsid w:val="002E714C"/>
    <w:rsid w:val="002F036B"/>
    <w:rsid w:val="002F0F42"/>
    <w:rsid w:val="003015F0"/>
    <w:rsid w:val="00301C01"/>
    <w:rsid w:val="00302A82"/>
    <w:rsid w:val="00304892"/>
    <w:rsid w:val="003103FB"/>
    <w:rsid w:val="00313E1D"/>
    <w:rsid w:val="00315810"/>
    <w:rsid w:val="003247FA"/>
    <w:rsid w:val="003309DA"/>
    <w:rsid w:val="003326EC"/>
    <w:rsid w:val="00333809"/>
    <w:rsid w:val="0033389C"/>
    <w:rsid w:val="003352E1"/>
    <w:rsid w:val="00336313"/>
    <w:rsid w:val="00337D1D"/>
    <w:rsid w:val="00337FA7"/>
    <w:rsid w:val="0034433A"/>
    <w:rsid w:val="00344904"/>
    <w:rsid w:val="0035060F"/>
    <w:rsid w:val="00352864"/>
    <w:rsid w:val="00352F6F"/>
    <w:rsid w:val="00355650"/>
    <w:rsid w:val="00355E1F"/>
    <w:rsid w:val="00362F9E"/>
    <w:rsid w:val="003636B8"/>
    <w:rsid w:val="00363BE8"/>
    <w:rsid w:val="00370B5D"/>
    <w:rsid w:val="0037224F"/>
    <w:rsid w:val="003729A9"/>
    <w:rsid w:val="00372F61"/>
    <w:rsid w:val="003777AF"/>
    <w:rsid w:val="00385069"/>
    <w:rsid w:val="00386A29"/>
    <w:rsid w:val="00387072"/>
    <w:rsid w:val="00392097"/>
    <w:rsid w:val="00392684"/>
    <w:rsid w:val="003B7610"/>
    <w:rsid w:val="003C2CC3"/>
    <w:rsid w:val="003C3614"/>
    <w:rsid w:val="003C3CD9"/>
    <w:rsid w:val="003C7721"/>
    <w:rsid w:val="003D1FB8"/>
    <w:rsid w:val="003D7104"/>
    <w:rsid w:val="003E2013"/>
    <w:rsid w:val="003E474F"/>
    <w:rsid w:val="003E50CF"/>
    <w:rsid w:val="003E5605"/>
    <w:rsid w:val="003E7BC6"/>
    <w:rsid w:val="003F0435"/>
    <w:rsid w:val="003F21D2"/>
    <w:rsid w:val="003F269E"/>
    <w:rsid w:val="003F4964"/>
    <w:rsid w:val="003F65F3"/>
    <w:rsid w:val="004019B5"/>
    <w:rsid w:val="00401C43"/>
    <w:rsid w:val="004046FF"/>
    <w:rsid w:val="004073C5"/>
    <w:rsid w:val="00410790"/>
    <w:rsid w:val="00411EC7"/>
    <w:rsid w:val="00411EF4"/>
    <w:rsid w:val="004133BB"/>
    <w:rsid w:val="004142EF"/>
    <w:rsid w:val="00420958"/>
    <w:rsid w:val="00420EF1"/>
    <w:rsid w:val="00421920"/>
    <w:rsid w:val="00423D33"/>
    <w:rsid w:val="004249A0"/>
    <w:rsid w:val="00425FAA"/>
    <w:rsid w:val="0043155E"/>
    <w:rsid w:val="004322D5"/>
    <w:rsid w:val="00432D49"/>
    <w:rsid w:val="004339EA"/>
    <w:rsid w:val="00433E8F"/>
    <w:rsid w:val="00434145"/>
    <w:rsid w:val="00436CBD"/>
    <w:rsid w:val="004429B9"/>
    <w:rsid w:val="0044577B"/>
    <w:rsid w:val="00451588"/>
    <w:rsid w:val="004517F1"/>
    <w:rsid w:val="00451FF6"/>
    <w:rsid w:val="004552AC"/>
    <w:rsid w:val="004556DF"/>
    <w:rsid w:val="00461AE3"/>
    <w:rsid w:val="00462BB6"/>
    <w:rsid w:val="00462F22"/>
    <w:rsid w:val="00464A63"/>
    <w:rsid w:val="004650D7"/>
    <w:rsid w:val="00466DD6"/>
    <w:rsid w:val="00470670"/>
    <w:rsid w:val="00472286"/>
    <w:rsid w:val="00475A47"/>
    <w:rsid w:val="00475D57"/>
    <w:rsid w:val="00475F03"/>
    <w:rsid w:val="00476ADA"/>
    <w:rsid w:val="00484536"/>
    <w:rsid w:val="00485834"/>
    <w:rsid w:val="00486585"/>
    <w:rsid w:val="00494864"/>
    <w:rsid w:val="0049615E"/>
    <w:rsid w:val="0049638E"/>
    <w:rsid w:val="00497289"/>
    <w:rsid w:val="004A06AE"/>
    <w:rsid w:val="004A2A51"/>
    <w:rsid w:val="004A2CEE"/>
    <w:rsid w:val="004A510D"/>
    <w:rsid w:val="004B06E3"/>
    <w:rsid w:val="004B35DC"/>
    <w:rsid w:val="004B4DDE"/>
    <w:rsid w:val="004B5888"/>
    <w:rsid w:val="004B6780"/>
    <w:rsid w:val="004B7CAA"/>
    <w:rsid w:val="004C1B1C"/>
    <w:rsid w:val="004C2A36"/>
    <w:rsid w:val="004C3663"/>
    <w:rsid w:val="004C57EC"/>
    <w:rsid w:val="004C69F2"/>
    <w:rsid w:val="004D0C20"/>
    <w:rsid w:val="004D1461"/>
    <w:rsid w:val="004D3A71"/>
    <w:rsid w:val="004D3CE4"/>
    <w:rsid w:val="004D7E51"/>
    <w:rsid w:val="004E04EE"/>
    <w:rsid w:val="004E1B37"/>
    <w:rsid w:val="004E2704"/>
    <w:rsid w:val="004E3F72"/>
    <w:rsid w:val="004E4D01"/>
    <w:rsid w:val="004F705B"/>
    <w:rsid w:val="00500964"/>
    <w:rsid w:val="00500C66"/>
    <w:rsid w:val="005044CA"/>
    <w:rsid w:val="00505B94"/>
    <w:rsid w:val="00507CD4"/>
    <w:rsid w:val="005130EC"/>
    <w:rsid w:val="00513588"/>
    <w:rsid w:val="005146E6"/>
    <w:rsid w:val="00515479"/>
    <w:rsid w:val="00520182"/>
    <w:rsid w:val="00523F9B"/>
    <w:rsid w:val="005249BC"/>
    <w:rsid w:val="00526F7F"/>
    <w:rsid w:val="005306AE"/>
    <w:rsid w:val="00535A42"/>
    <w:rsid w:val="0053748E"/>
    <w:rsid w:val="005449C6"/>
    <w:rsid w:val="00561400"/>
    <w:rsid w:val="0056177B"/>
    <w:rsid w:val="005624D9"/>
    <w:rsid w:val="00565D08"/>
    <w:rsid w:val="00566B42"/>
    <w:rsid w:val="005710BF"/>
    <w:rsid w:val="0057165C"/>
    <w:rsid w:val="00571D95"/>
    <w:rsid w:val="005722C6"/>
    <w:rsid w:val="00580FF8"/>
    <w:rsid w:val="00583BBA"/>
    <w:rsid w:val="00585C8D"/>
    <w:rsid w:val="005862CC"/>
    <w:rsid w:val="005911FE"/>
    <w:rsid w:val="0059312F"/>
    <w:rsid w:val="00593220"/>
    <w:rsid w:val="0059380C"/>
    <w:rsid w:val="00593CD1"/>
    <w:rsid w:val="00594142"/>
    <w:rsid w:val="00595758"/>
    <w:rsid w:val="00596081"/>
    <w:rsid w:val="005A3943"/>
    <w:rsid w:val="005A51E6"/>
    <w:rsid w:val="005A632E"/>
    <w:rsid w:val="005A74DC"/>
    <w:rsid w:val="005B04DC"/>
    <w:rsid w:val="005B329B"/>
    <w:rsid w:val="005B7418"/>
    <w:rsid w:val="005C03A9"/>
    <w:rsid w:val="005C1D6E"/>
    <w:rsid w:val="005C2BFC"/>
    <w:rsid w:val="005C324B"/>
    <w:rsid w:val="005C36B6"/>
    <w:rsid w:val="005C43E2"/>
    <w:rsid w:val="005C454A"/>
    <w:rsid w:val="005C74C9"/>
    <w:rsid w:val="005C7B6B"/>
    <w:rsid w:val="005D1B14"/>
    <w:rsid w:val="005D257B"/>
    <w:rsid w:val="005E1D5C"/>
    <w:rsid w:val="005E25DC"/>
    <w:rsid w:val="005E3F3F"/>
    <w:rsid w:val="005E52AE"/>
    <w:rsid w:val="005E5607"/>
    <w:rsid w:val="005E567C"/>
    <w:rsid w:val="005F3C1C"/>
    <w:rsid w:val="005F505E"/>
    <w:rsid w:val="006007C4"/>
    <w:rsid w:val="00601D5A"/>
    <w:rsid w:val="00602976"/>
    <w:rsid w:val="0060388D"/>
    <w:rsid w:val="00604231"/>
    <w:rsid w:val="006068F3"/>
    <w:rsid w:val="00610050"/>
    <w:rsid w:val="00610C2F"/>
    <w:rsid w:val="00610C76"/>
    <w:rsid w:val="006161A6"/>
    <w:rsid w:val="00617A2E"/>
    <w:rsid w:val="0062187C"/>
    <w:rsid w:val="006239BC"/>
    <w:rsid w:val="00625805"/>
    <w:rsid w:val="00627AC4"/>
    <w:rsid w:val="0063253B"/>
    <w:rsid w:val="00635BEF"/>
    <w:rsid w:val="006363C8"/>
    <w:rsid w:val="00637AB8"/>
    <w:rsid w:val="0064370D"/>
    <w:rsid w:val="00643771"/>
    <w:rsid w:val="00644946"/>
    <w:rsid w:val="00646AB8"/>
    <w:rsid w:val="00647BD9"/>
    <w:rsid w:val="00654A3E"/>
    <w:rsid w:val="00657C37"/>
    <w:rsid w:val="006624A7"/>
    <w:rsid w:val="0066515F"/>
    <w:rsid w:val="006663E9"/>
    <w:rsid w:val="006668AF"/>
    <w:rsid w:val="00670A7E"/>
    <w:rsid w:val="0067278C"/>
    <w:rsid w:val="00674D41"/>
    <w:rsid w:val="00676DAA"/>
    <w:rsid w:val="006832DA"/>
    <w:rsid w:val="006842D6"/>
    <w:rsid w:val="00686439"/>
    <w:rsid w:val="006952B0"/>
    <w:rsid w:val="00697A88"/>
    <w:rsid w:val="00697CF1"/>
    <w:rsid w:val="006A15DA"/>
    <w:rsid w:val="006A6051"/>
    <w:rsid w:val="006B31D9"/>
    <w:rsid w:val="006B4A4F"/>
    <w:rsid w:val="006B4BEB"/>
    <w:rsid w:val="006C0102"/>
    <w:rsid w:val="006C07D4"/>
    <w:rsid w:val="006C17B6"/>
    <w:rsid w:val="006C41AD"/>
    <w:rsid w:val="006D04BD"/>
    <w:rsid w:val="006D1E0D"/>
    <w:rsid w:val="006D47EF"/>
    <w:rsid w:val="006D5CFB"/>
    <w:rsid w:val="006D6644"/>
    <w:rsid w:val="006D7180"/>
    <w:rsid w:val="006E073B"/>
    <w:rsid w:val="006E2200"/>
    <w:rsid w:val="006E433B"/>
    <w:rsid w:val="006E68C7"/>
    <w:rsid w:val="006E77BE"/>
    <w:rsid w:val="006E7899"/>
    <w:rsid w:val="006E7C78"/>
    <w:rsid w:val="006F27F4"/>
    <w:rsid w:val="006F2E23"/>
    <w:rsid w:val="006F4C30"/>
    <w:rsid w:val="006F6B5E"/>
    <w:rsid w:val="006F7024"/>
    <w:rsid w:val="006F7DD7"/>
    <w:rsid w:val="00703A7C"/>
    <w:rsid w:val="007076DA"/>
    <w:rsid w:val="00707860"/>
    <w:rsid w:val="007122E6"/>
    <w:rsid w:val="00713549"/>
    <w:rsid w:val="00717131"/>
    <w:rsid w:val="00717AA0"/>
    <w:rsid w:val="007207BF"/>
    <w:rsid w:val="007255D6"/>
    <w:rsid w:val="00725CB0"/>
    <w:rsid w:val="00726DBC"/>
    <w:rsid w:val="007331D5"/>
    <w:rsid w:val="0073517D"/>
    <w:rsid w:val="0073685C"/>
    <w:rsid w:val="00737EA5"/>
    <w:rsid w:val="007400AE"/>
    <w:rsid w:val="00741F3E"/>
    <w:rsid w:val="00742F88"/>
    <w:rsid w:val="00743AA8"/>
    <w:rsid w:val="00750840"/>
    <w:rsid w:val="007517FD"/>
    <w:rsid w:val="00757617"/>
    <w:rsid w:val="007603C5"/>
    <w:rsid w:val="007614EB"/>
    <w:rsid w:val="0076370E"/>
    <w:rsid w:val="00763AD8"/>
    <w:rsid w:val="00765016"/>
    <w:rsid w:val="00767EDE"/>
    <w:rsid w:val="0077100C"/>
    <w:rsid w:val="00773BBA"/>
    <w:rsid w:val="00774C83"/>
    <w:rsid w:val="00776C39"/>
    <w:rsid w:val="00781D00"/>
    <w:rsid w:val="00783AEC"/>
    <w:rsid w:val="007900F3"/>
    <w:rsid w:val="00791B69"/>
    <w:rsid w:val="0079498E"/>
    <w:rsid w:val="00796F10"/>
    <w:rsid w:val="007A0F9E"/>
    <w:rsid w:val="007A1D2D"/>
    <w:rsid w:val="007A6AB5"/>
    <w:rsid w:val="007A6C67"/>
    <w:rsid w:val="007B133E"/>
    <w:rsid w:val="007B14D9"/>
    <w:rsid w:val="007B204E"/>
    <w:rsid w:val="007B2B46"/>
    <w:rsid w:val="007B30F2"/>
    <w:rsid w:val="007B377F"/>
    <w:rsid w:val="007B4274"/>
    <w:rsid w:val="007B443D"/>
    <w:rsid w:val="007B5117"/>
    <w:rsid w:val="007B599D"/>
    <w:rsid w:val="007B6170"/>
    <w:rsid w:val="007B6650"/>
    <w:rsid w:val="007B6A74"/>
    <w:rsid w:val="007C2AB1"/>
    <w:rsid w:val="007C2DC8"/>
    <w:rsid w:val="007C4EC2"/>
    <w:rsid w:val="007C6028"/>
    <w:rsid w:val="007C7EAF"/>
    <w:rsid w:val="007D097E"/>
    <w:rsid w:val="007D230B"/>
    <w:rsid w:val="007D2D80"/>
    <w:rsid w:val="007D3681"/>
    <w:rsid w:val="007D3824"/>
    <w:rsid w:val="007D49A1"/>
    <w:rsid w:val="007D59DD"/>
    <w:rsid w:val="007D735B"/>
    <w:rsid w:val="007E1F66"/>
    <w:rsid w:val="007E2152"/>
    <w:rsid w:val="007E2CB5"/>
    <w:rsid w:val="007E4C10"/>
    <w:rsid w:val="007E6501"/>
    <w:rsid w:val="007E6C25"/>
    <w:rsid w:val="007F32D7"/>
    <w:rsid w:val="007F4F97"/>
    <w:rsid w:val="007F558C"/>
    <w:rsid w:val="007F669E"/>
    <w:rsid w:val="00801632"/>
    <w:rsid w:val="0080520B"/>
    <w:rsid w:val="00807B3E"/>
    <w:rsid w:val="00810D4A"/>
    <w:rsid w:val="00812F82"/>
    <w:rsid w:val="008146FD"/>
    <w:rsid w:val="008163CE"/>
    <w:rsid w:val="00816AAB"/>
    <w:rsid w:val="00820402"/>
    <w:rsid w:val="008243B2"/>
    <w:rsid w:val="00824DCE"/>
    <w:rsid w:val="00824F08"/>
    <w:rsid w:val="008310DF"/>
    <w:rsid w:val="00831105"/>
    <w:rsid w:val="00835487"/>
    <w:rsid w:val="00844A4B"/>
    <w:rsid w:val="00845DC3"/>
    <w:rsid w:val="00854676"/>
    <w:rsid w:val="008616DC"/>
    <w:rsid w:val="008635EB"/>
    <w:rsid w:val="00865296"/>
    <w:rsid w:val="008666E8"/>
    <w:rsid w:val="00867086"/>
    <w:rsid w:val="00871123"/>
    <w:rsid w:val="00874663"/>
    <w:rsid w:val="00880BAD"/>
    <w:rsid w:val="00881B95"/>
    <w:rsid w:val="008831CA"/>
    <w:rsid w:val="00886CD2"/>
    <w:rsid w:val="00886FE6"/>
    <w:rsid w:val="00887FDA"/>
    <w:rsid w:val="0089272A"/>
    <w:rsid w:val="008947F5"/>
    <w:rsid w:val="00894890"/>
    <w:rsid w:val="00897247"/>
    <w:rsid w:val="008A1EF8"/>
    <w:rsid w:val="008A2FE6"/>
    <w:rsid w:val="008A3163"/>
    <w:rsid w:val="008B08F0"/>
    <w:rsid w:val="008B262C"/>
    <w:rsid w:val="008B2DAD"/>
    <w:rsid w:val="008B6FC8"/>
    <w:rsid w:val="008C19E9"/>
    <w:rsid w:val="008C26E9"/>
    <w:rsid w:val="008C774E"/>
    <w:rsid w:val="008D4652"/>
    <w:rsid w:val="008D6D9D"/>
    <w:rsid w:val="008F1691"/>
    <w:rsid w:val="008F22E2"/>
    <w:rsid w:val="008F5698"/>
    <w:rsid w:val="008F639E"/>
    <w:rsid w:val="008F6E1A"/>
    <w:rsid w:val="00901EF2"/>
    <w:rsid w:val="00903EB6"/>
    <w:rsid w:val="00904906"/>
    <w:rsid w:val="0090702F"/>
    <w:rsid w:val="009079D0"/>
    <w:rsid w:val="00913D0A"/>
    <w:rsid w:val="009148A1"/>
    <w:rsid w:val="00914C43"/>
    <w:rsid w:val="00924972"/>
    <w:rsid w:val="009251E0"/>
    <w:rsid w:val="009309D7"/>
    <w:rsid w:val="00931868"/>
    <w:rsid w:val="00932E1E"/>
    <w:rsid w:val="009337BD"/>
    <w:rsid w:val="00934068"/>
    <w:rsid w:val="00936348"/>
    <w:rsid w:val="00937854"/>
    <w:rsid w:val="009400F4"/>
    <w:rsid w:val="0094045A"/>
    <w:rsid w:val="00945C31"/>
    <w:rsid w:val="009469E0"/>
    <w:rsid w:val="00947580"/>
    <w:rsid w:val="00951C4D"/>
    <w:rsid w:val="00952E03"/>
    <w:rsid w:val="0095396E"/>
    <w:rsid w:val="009547E2"/>
    <w:rsid w:val="00956488"/>
    <w:rsid w:val="00956F5F"/>
    <w:rsid w:val="009610DC"/>
    <w:rsid w:val="009669D2"/>
    <w:rsid w:val="0097065C"/>
    <w:rsid w:val="0097154F"/>
    <w:rsid w:val="00973555"/>
    <w:rsid w:val="0098457F"/>
    <w:rsid w:val="00985996"/>
    <w:rsid w:val="00986978"/>
    <w:rsid w:val="00994F74"/>
    <w:rsid w:val="0099563A"/>
    <w:rsid w:val="009A13F4"/>
    <w:rsid w:val="009A3A85"/>
    <w:rsid w:val="009A44BE"/>
    <w:rsid w:val="009B029F"/>
    <w:rsid w:val="009B27F8"/>
    <w:rsid w:val="009B4A8B"/>
    <w:rsid w:val="009B74FB"/>
    <w:rsid w:val="009C0660"/>
    <w:rsid w:val="009C12A7"/>
    <w:rsid w:val="009C2DE3"/>
    <w:rsid w:val="009C31A4"/>
    <w:rsid w:val="009C4845"/>
    <w:rsid w:val="009C6F83"/>
    <w:rsid w:val="009C7314"/>
    <w:rsid w:val="009D2442"/>
    <w:rsid w:val="009D5D9F"/>
    <w:rsid w:val="009D7F4D"/>
    <w:rsid w:val="009E0FA2"/>
    <w:rsid w:val="009E2244"/>
    <w:rsid w:val="009E2D42"/>
    <w:rsid w:val="009E57DF"/>
    <w:rsid w:val="009E7B5D"/>
    <w:rsid w:val="009F57FD"/>
    <w:rsid w:val="009F7F9F"/>
    <w:rsid w:val="00A01E02"/>
    <w:rsid w:val="00A02E26"/>
    <w:rsid w:val="00A05BA0"/>
    <w:rsid w:val="00A07230"/>
    <w:rsid w:val="00A10C74"/>
    <w:rsid w:val="00A159C9"/>
    <w:rsid w:val="00A167FB"/>
    <w:rsid w:val="00A2016D"/>
    <w:rsid w:val="00A205C6"/>
    <w:rsid w:val="00A21B70"/>
    <w:rsid w:val="00A21D02"/>
    <w:rsid w:val="00A21DDB"/>
    <w:rsid w:val="00A23CF6"/>
    <w:rsid w:val="00A24545"/>
    <w:rsid w:val="00A2690C"/>
    <w:rsid w:val="00A2792F"/>
    <w:rsid w:val="00A30970"/>
    <w:rsid w:val="00A315E4"/>
    <w:rsid w:val="00A31BDD"/>
    <w:rsid w:val="00A31D96"/>
    <w:rsid w:val="00A31DC7"/>
    <w:rsid w:val="00A31FEE"/>
    <w:rsid w:val="00A33722"/>
    <w:rsid w:val="00A33C55"/>
    <w:rsid w:val="00A373DC"/>
    <w:rsid w:val="00A376FA"/>
    <w:rsid w:val="00A406C3"/>
    <w:rsid w:val="00A42704"/>
    <w:rsid w:val="00A42875"/>
    <w:rsid w:val="00A44209"/>
    <w:rsid w:val="00A44DC1"/>
    <w:rsid w:val="00A47168"/>
    <w:rsid w:val="00A47A98"/>
    <w:rsid w:val="00A47EE7"/>
    <w:rsid w:val="00A50B43"/>
    <w:rsid w:val="00A51C87"/>
    <w:rsid w:val="00A54197"/>
    <w:rsid w:val="00A57C3A"/>
    <w:rsid w:val="00A61821"/>
    <w:rsid w:val="00A61E3A"/>
    <w:rsid w:val="00A631BA"/>
    <w:rsid w:val="00A65C27"/>
    <w:rsid w:val="00A67322"/>
    <w:rsid w:val="00A67CA5"/>
    <w:rsid w:val="00A75CCD"/>
    <w:rsid w:val="00A80506"/>
    <w:rsid w:val="00A806AE"/>
    <w:rsid w:val="00A8118F"/>
    <w:rsid w:val="00A83458"/>
    <w:rsid w:val="00A86C41"/>
    <w:rsid w:val="00A90148"/>
    <w:rsid w:val="00A917F8"/>
    <w:rsid w:val="00A979B8"/>
    <w:rsid w:val="00AA0D8C"/>
    <w:rsid w:val="00AA25BC"/>
    <w:rsid w:val="00AA2841"/>
    <w:rsid w:val="00AA3077"/>
    <w:rsid w:val="00AA3167"/>
    <w:rsid w:val="00AA3E2A"/>
    <w:rsid w:val="00AA46AF"/>
    <w:rsid w:val="00AA5AE7"/>
    <w:rsid w:val="00AA6CCE"/>
    <w:rsid w:val="00AB2477"/>
    <w:rsid w:val="00AB4E9E"/>
    <w:rsid w:val="00AB6C99"/>
    <w:rsid w:val="00AB71BC"/>
    <w:rsid w:val="00AC11D5"/>
    <w:rsid w:val="00AC15E5"/>
    <w:rsid w:val="00AC22BB"/>
    <w:rsid w:val="00AC3CFD"/>
    <w:rsid w:val="00AC4080"/>
    <w:rsid w:val="00AC4ACA"/>
    <w:rsid w:val="00AC5A6D"/>
    <w:rsid w:val="00AC5D73"/>
    <w:rsid w:val="00AC73AD"/>
    <w:rsid w:val="00AC7BED"/>
    <w:rsid w:val="00AD067D"/>
    <w:rsid w:val="00AD5FFD"/>
    <w:rsid w:val="00AD705A"/>
    <w:rsid w:val="00AD78F9"/>
    <w:rsid w:val="00AE008D"/>
    <w:rsid w:val="00AE0952"/>
    <w:rsid w:val="00AE0C2E"/>
    <w:rsid w:val="00AE30E0"/>
    <w:rsid w:val="00AE3374"/>
    <w:rsid w:val="00AE346F"/>
    <w:rsid w:val="00AE3944"/>
    <w:rsid w:val="00AE3AD5"/>
    <w:rsid w:val="00AF2329"/>
    <w:rsid w:val="00AF3660"/>
    <w:rsid w:val="00AF7A20"/>
    <w:rsid w:val="00B01312"/>
    <w:rsid w:val="00B02D98"/>
    <w:rsid w:val="00B06685"/>
    <w:rsid w:val="00B143A6"/>
    <w:rsid w:val="00B15D02"/>
    <w:rsid w:val="00B15D2F"/>
    <w:rsid w:val="00B16399"/>
    <w:rsid w:val="00B1760F"/>
    <w:rsid w:val="00B23B0A"/>
    <w:rsid w:val="00B2586D"/>
    <w:rsid w:val="00B25AE4"/>
    <w:rsid w:val="00B265C9"/>
    <w:rsid w:val="00B26909"/>
    <w:rsid w:val="00B27664"/>
    <w:rsid w:val="00B31169"/>
    <w:rsid w:val="00B31828"/>
    <w:rsid w:val="00B330B4"/>
    <w:rsid w:val="00B41E25"/>
    <w:rsid w:val="00B42BEE"/>
    <w:rsid w:val="00B452B7"/>
    <w:rsid w:val="00B458E3"/>
    <w:rsid w:val="00B518FF"/>
    <w:rsid w:val="00B54F17"/>
    <w:rsid w:val="00B561EE"/>
    <w:rsid w:val="00B57D47"/>
    <w:rsid w:val="00B61584"/>
    <w:rsid w:val="00B6210E"/>
    <w:rsid w:val="00B6276C"/>
    <w:rsid w:val="00B632E3"/>
    <w:rsid w:val="00B64DC8"/>
    <w:rsid w:val="00B70688"/>
    <w:rsid w:val="00B75FD9"/>
    <w:rsid w:val="00B77091"/>
    <w:rsid w:val="00B837C1"/>
    <w:rsid w:val="00B83E5D"/>
    <w:rsid w:val="00B841E0"/>
    <w:rsid w:val="00B860BA"/>
    <w:rsid w:val="00B865F5"/>
    <w:rsid w:val="00B870A0"/>
    <w:rsid w:val="00B91DFE"/>
    <w:rsid w:val="00B92858"/>
    <w:rsid w:val="00B966E9"/>
    <w:rsid w:val="00B96BC7"/>
    <w:rsid w:val="00B97229"/>
    <w:rsid w:val="00BA07B9"/>
    <w:rsid w:val="00BA08A3"/>
    <w:rsid w:val="00BA3D7D"/>
    <w:rsid w:val="00BA5AB3"/>
    <w:rsid w:val="00BB227E"/>
    <w:rsid w:val="00BB3764"/>
    <w:rsid w:val="00BB4F22"/>
    <w:rsid w:val="00BB7E3D"/>
    <w:rsid w:val="00BC36CE"/>
    <w:rsid w:val="00BC3CD1"/>
    <w:rsid w:val="00BC5A43"/>
    <w:rsid w:val="00BC5EC6"/>
    <w:rsid w:val="00BC5F0E"/>
    <w:rsid w:val="00BD0C78"/>
    <w:rsid w:val="00BD2211"/>
    <w:rsid w:val="00BD221D"/>
    <w:rsid w:val="00BD2C9F"/>
    <w:rsid w:val="00BD3E65"/>
    <w:rsid w:val="00BD5934"/>
    <w:rsid w:val="00BD7785"/>
    <w:rsid w:val="00BE0032"/>
    <w:rsid w:val="00BE3B2E"/>
    <w:rsid w:val="00BE7DE8"/>
    <w:rsid w:val="00BF1CBD"/>
    <w:rsid w:val="00BF52C4"/>
    <w:rsid w:val="00BF62EC"/>
    <w:rsid w:val="00BF66D2"/>
    <w:rsid w:val="00C006BE"/>
    <w:rsid w:val="00C01675"/>
    <w:rsid w:val="00C04A8B"/>
    <w:rsid w:val="00C05B8E"/>
    <w:rsid w:val="00C074A1"/>
    <w:rsid w:val="00C1063D"/>
    <w:rsid w:val="00C12A0A"/>
    <w:rsid w:val="00C15E0E"/>
    <w:rsid w:val="00C23FB5"/>
    <w:rsid w:val="00C24A1A"/>
    <w:rsid w:val="00C24EF7"/>
    <w:rsid w:val="00C25988"/>
    <w:rsid w:val="00C276AA"/>
    <w:rsid w:val="00C3294B"/>
    <w:rsid w:val="00C331BB"/>
    <w:rsid w:val="00C35EC3"/>
    <w:rsid w:val="00C41A08"/>
    <w:rsid w:val="00C422B9"/>
    <w:rsid w:val="00C4240A"/>
    <w:rsid w:val="00C4241E"/>
    <w:rsid w:val="00C45263"/>
    <w:rsid w:val="00C478CA"/>
    <w:rsid w:val="00C503EE"/>
    <w:rsid w:val="00C504EC"/>
    <w:rsid w:val="00C50EFE"/>
    <w:rsid w:val="00C615A3"/>
    <w:rsid w:val="00C6198D"/>
    <w:rsid w:val="00C635DA"/>
    <w:rsid w:val="00C639E7"/>
    <w:rsid w:val="00C648B8"/>
    <w:rsid w:val="00C659BE"/>
    <w:rsid w:val="00C74302"/>
    <w:rsid w:val="00C75D4B"/>
    <w:rsid w:val="00C80300"/>
    <w:rsid w:val="00C813DE"/>
    <w:rsid w:val="00C82307"/>
    <w:rsid w:val="00C8613B"/>
    <w:rsid w:val="00C86F01"/>
    <w:rsid w:val="00C900DE"/>
    <w:rsid w:val="00C92622"/>
    <w:rsid w:val="00C946B4"/>
    <w:rsid w:val="00C97228"/>
    <w:rsid w:val="00C9780D"/>
    <w:rsid w:val="00CA02DA"/>
    <w:rsid w:val="00CA19D6"/>
    <w:rsid w:val="00CA1A54"/>
    <w:rsid w:val="00CA1CB3"/>
    <w:rsid w:val="00CA26B5"/>
    <w:rsid w:val="00CA655A"/>
    <w:rsid w:val="00CB3094"/>
    <w:rsid w:val="00CB4720"/>
    <w:rsid w:val="00CB48A5"/>
    <w:rsid w:val="00CC3B34"/>
    <w:rsid w:val="00CC46B2"/>
    <w:rsid w:val="00CC5718"/>
    <w:rsid w:val="00CD1352"/>
    <w:rsid w:val="00CD1CBE"/>
    <w:rsid w:val="00CD1E3E"/>
    <w:rsid w:val="00CD2EDC"/>
    <w:rsid w:val="00CD32E2"/>
    <w:rsid w:val="00CD4B0B"/>
    <w:rsid w:val="00CD6698"/>
    <w:rsid w:val="00CD772A"/>
    <w:rsid w:val="00CE16CB"/>
    <w:rsid w:val="00CE1E5B"/>
    <w:rsid w:val="00CF1D92"/>
    <w:rsid w:val="00CF2D92"/>
    <w:rsid w:val="00CF5D91"/>
    <w:rsid w:val="00CF696D"/>
    <w:rsid w:val="00D0025C"/>
    <w:rsid w:val="00D004FB"/>
    <w:rsid w:val="00D0148B"/>
    <w:rsid w:val="00D02BBC"/>
    <w:rsid w:val="00D02C36"/>
    <w:rsid w:val="00D0761C"/>
    <w:rsid w:val="00D11650"/>
    <w:rsid w:val="00D12172"/>
    <w:rsid w:val="00D12B8C"/>
    <w:rsid w:val="00D14F84"/>
    <w:rsid w:val="00D16383"/>
    <w:rsid w:val="00D200F6"/>
    <w:rsid w:val="00D21646"/>
    <w:rsid w:val="00D2171F"/>
    <w:rsid w:val="00D21EC2"/>
    <w:rsid w:val="00D27BA2"/>
    <w:rsid w:val="00D36A3A"/>
    <w:rsid w:val="00D40EF2"/>
    <w:rsid w:val="00D454F2"/>
    <w:rsid w:val="00D472C6"/>
    <w:rsid w:val="00D47CE9"/>
    <w:rsid w:val="00D52995"/>
    <w:rsid w:val="00D60425"/>
    <w:rsid w:val="00D60987"/>
    <w:rsid w:val="00D60CC3"/>
    <w:rsid w:val="00D67B9C"/>
    <w:rsid w:val="00D72ADE"/>
    <w:rsid w:val="00D75233"/>
    <w:rsid w:val="00D76E52"/>
    <w:rsid w:val="00D7728F"/>
    <w:rsid w:val="00D77696"/>
    <w:rsid w:val="00D81CC4"/>
    <w:rsid w:val="00D84310"/>
    <w:rsid w:val="00D9747F"/>
    <w:rsid w:val="00D9765E"/>
    <w:rsid w:val="00DA1473"/>
    <w:rsid w:val="00DA30C7"/>
    <w:rsid w:val="00DA4591"/>
    <w:rsid w:val="00DA6088"/>
    <w:rsid w:val="00DA6430"/>
    <w:rsid w:val="00DA681A"/>
    <w:rsid w:val="00DA6B7E"/>
    <w:rsid w:val="00DB53BF"/>
    <w:rsid w:val="00DB63BE"/>
    <w:rsid w:val="00DB63DB"/>
    <w:rsid w:val="00DB7824"/>
    <w:rsid w:val="00DC308E"/>
    <w:rsid w:val="00DC3C47"/>
    <w:rsid w:val="00DC5E0F"/>
    <w:rsid w:val="00DC6C76"/>
    <w:rsid w:val="00DC7F73"/>
    <w:rsid w:val="00DE191A"/>
    <w:rsid w:val="00DE1A0F"/>
    <w:rsid w:val="00DE3123"/>
    <w:rsid w:val="00DE339F"/>
    <w:rsid w:val="00DE3716"/>
    <w:rsid w:val="00DE62ED"/>
    <w:rsid w:val="00DE65D3"/>
    <w:rsid w:val="00DF1535"/>
    <w:rsid w:val="00DF53F5"/>
    <w:rsid w:val="00DF61FD"/>
    <w:rsid w:val="00DF6226"/>
    <w:rsid w:val="00DF6D25"/>
    <w:rsid w:val="00E00FE3"/>
    <w:rsid w:val="00E03C6D"/>
    <w:rsid w:val="00E11EE3"/>
    <w:rsid w:val="00E135F9"/>
    <w:rsid w:val="00E14349"/>
    <w:rsid w:val="00E20C28"/>
    <w:rsid w:val="00E2218E"/>
    <w:rsid w:val="00E22A77"/>
    <w:rsid w:val="00E22E84"/>
    <w:rsid w:val="00E24B18"/>
    <w:rsid w:val="00E251B3"/>
    <w:rsid w:val="00E3016C"/>
    <w:rsid w:val="00E34597"/>
    <w:rsid w:val="00E348BC"/>
    <w:rsid w:val="00E35B8D"/>
    <w:rsid w:val="00E40EBA"/>
    <w:rsid w:val="00E4307D"/>
    <w:rsid w:val="00E4318F"/>
    <w:rsid w:val="00E4392E"/>
    <w:rsid w:val="00E50B9E"/>
    <w:rsid w:val="00E54395"/>
    <w:rsid w:val="00E54741"/>
    <w:rsid w:val="00E568E5"/>
    <w:rsid w:val="00E57AAD"/>
    <w:rsid w:val="00E6453F"/>
    <w:rsid w:val="00E659EF"/>
    <w:rsid w:val="00E677A6"/>
    <w:rsid w:val="00E70CBD"/>
    <w:rsid w:val="00E717E8"/>
    <w:rsid w:val="00E72BAF"/>
    <w:rsid w:val="00E73D81"/>
    <w:rsid w:val="00E754F4"/>
    <w:rsid w:val="00E80023"/>
    <w:rsid w:val="00E827BA"/>
    <w:rsid w:val="00E865D1"/>
    <w:rsid w:val="00E92992"/>
    <w:rsid w:val="00EA057C"/>
    <w:rsid w:val="00EA2D3D"/>
    <w:rsid w:val="00EA5B84"/>
    <w:rsid w:val="00EB20F9"/>
    <w:rsid w:val="00EB24EB"/>
    <w:rsid w:val="00EB34AF"/>
    <w:rsid w:val="00EB35A4"/>
    <w:rsid w:val="00EB4719"/>
    <w:rsid w:val="00EB73F3"/>
    <w:rsid w:val="00EC0C85"/>
    <w:rsid w:val="00EC4235"/>
    <w:rsid w:val="00ED06CC"/>
    <w:rsid w:val="00ED2C8E"/>
    <w:rsid w:val="00ED32CC"/>
    <w:rsid w:val="00ED379E"/>
    <w:rsid w:val="00ED7680"/>
    <w:rsid w:val="00EE0116"/>
    <w:rsid w:val="00EE0424"/>
    <w:rsid w:val="00EE0D47"/>
    <w:rsid w:val="00EE5358"/>
    <w:rsid w:val="00EF1B6A"/>
    <w:rsid w:val="00EF3C59"/>
    <w:rsid w:val="00EF3D7E"/>
    <w:rsid w:val="00EF54D8"/>
    <w:rsid w:val="00EF71E9"/>
    <w:rsid w:val="00F006D2"/>
    <w:rsid w:val="00F00BD1"/>
    <w:rsid w:val="00F00DC7"/>
    <w:rsid w:val="00F017B0"/>
    <w:rsid w:val="00F01FD9"/>
    <w:rsid w:val="00F04B07"/>
    <w:rsid w:val="00F05BA8"/>
    <w:rsid w:val="00F074DD"/>
    <w:rsid w:val="00F07657"/>
    <w:rsid w:val="00F16F13"/>
    <w:rsid w:val="00F20AEA"/>
    <w:rsid w:val="00F219C3"/>
    <w:rsid w:val="00F23E9A"/>
    <w:rsid w:val="00F242D9"/>
    <w:rsid w:val="00F259FE"/>
    <w:rsid w:val="00F3715D"/>
    <w:rsid w:val="00F44B62"/>
    <w:rsid w:val="00F5072C"/>
    <w:rsid w:val="00F517F5"/>
    <w:rsid w:val="00F51CBF"/>
    <w:rsid w:val="00F526D5"/>
    <w:rsid w:val="00F5411D"/>
    <w:rsid w:val="00F56D2B"/>
    <w:rsid w:val="00F57D2D"/>
    <w:rsid w:val="00F606D8"/>
    <w:rsid w:val="00F62A49"/>
    <w:rsid w:val="00F64F0D"/>
    <w:rsid w:val="00F65726"/>
    <w:rsid w:val="00F7026A"/>
    <w:rsid w:val="00F70629"/>
    <w:rsid w:val="00F71826"/>
    <w:rsid w:val="00F72B45"/>
    <w:rsid w:val="00F73B00"/>
    <w:rsid w:val="00F7493F"/>
    <w:rsid w:val="00F764EE"/>
    <w:rsid w:val="00F76E6F"/>
    <w:rsid w:val="00F779BA"/>
    <w:rsid w:val="00F8464D"/>
    <w:rsid w:val="00F84737"/>
    <w:rsid w:val="00F85099"/>
    <w:rsid w:val="00F860EE"/>
    <w:rsid w:val="00F87B69"/>
    <w:rsid w:val="00F90C95"/>
    <w:rsid w:val="00F9103E"/>
    <w:rsid w:val="00F942AF"/>
    <w:rsid w:val="00F95923"/>
    <w:rsid w:val="00F96A39"/>
    <w:rsid w:val="00F96DB3"/>
    <w:rsid w:val="00F97463"/>
    <w:rsid w:val="00F974AD"/>
    <w:rsid w:val="00FA0979"/>
    <w:rsid w:val="00FA4B50"/>
    <w:rsid w:val="00FA4DC6"/>
    <w:rsid w:val="00FA5D99"/>
    <w:rsid w:val="00FA62AE"/>
    <w:rsid w:val="00FB030E"/>
    <w:rsid w:val="00FB52E8"/>
    <w:rsid w:val="00FB571F"/>
    <w:rsid w:val="00FB6F0B"/>
    <w:rsid w:val="00FC2E05"/>
    <w:rsid w:val="00FC42BA"/>
    <w:rsid w:val="00FC4CC7"/>
    <w:rsid w:val="00FC611F"/>
    <w:rsid w:val="00FC6166"/>
    <w:rsid w:val="00FC77BB"/>
    <w:rsid w:val="00FD08C1"/>
    <w:rsid w:val="00FD2C54"/>
    <w:rsid w:val="00FD6877"/>
    <w:rsid w:val="00FD6E76"/>
    <w:rsid w:val="00FD7A7A"/>
    <w:rsid w:val="00FE10C1"/>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iPriority w:val="35"/>
    <w:unhideWhenUsed/>
    <w:qFormat/>
    <w:rsid w:val="00931868"/>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uiPriority w:val="35"/>
    <w:locked/>
    <w:rsid w:val="00931868"/>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583BBA"/>
    <w:pPr>
      <w:spacing w:before="0" w:after="0" w:line="240" w:lineRule="auto"/>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D60CC3"/>
  </w:style>
  <w:style w:type="character" w:customStyle="1" w:styleId="FigureCaptionChar">
    <w:name w:val="Figure Caption Char"/>
    <w:basedOn w:val="CaptionChar"/>
    <w:link w:val="FigureCaption"/>
    <w:rsid w:val="00D60CC3"/>
    <w:rPr>
      <w:rFonts w:ascii="Calibri Light" w:hAnsi="Calibri Light" w:cs="Arial"/>
      <w:b/>
      <w:color w:val="000000"/>
      <w:sz w:val="20"/>
      <w:szCs w:val="22"/>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7331D5"/>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6B4A4F"/>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6B4A4F"/>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A44209"/>
    <w:pPr>
      <w:spacing w:before="20" w:after="20"/>
    </w:pPr>
  </w:style>
  <w:style w:type="character" w:customStyle="1" w:styleId="eTRMFootnoteTextChar">
    <w:name w:val="eTRM Footnote Text Char"/>
    <w:basedOn w:val="FootnoteTextChar"/>
    <w:link w:val="eTRMFootnoteText"/>
    <w:rsid w:val="00A44209"/>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rsid w:val="00515479"/>
    <w:rPr>
      <w:b/>
      <w:bCs/>
    </w:rPr>
  </w:style>
  <w:style w:type="character" w:styleId="UnresolvedMention">
    <w:name w:val="Unresolved Mention"/>
    <w:basedOn w:val="DefaultParagraphFont"/>
    <w:uiPriority w:val="99"/>
    <w:rsid w:val="00EB73F3"/>
    <w:rPr>
      <w:color w:val="605E5C"/>
      <w:shd w:val="clear" w:color="auto" w:fill="E1DFDD"/>
    </w:rPr>
  </w:style>
  <w:style w:type="character" w:customStyle="1" w:styleId="dropdown">
    <w:name w:val="dropdown"/>
    <w:basedOn w:val="DefaultParagraphFont"/>
    <w:rsid w:val="00A44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231114040">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1961259014">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pineda\Desktop\Rheem\Rheem%20Savings_6_28_2016_.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21567223883108"/>
          <c:y val="4.238921001926782E-2"/>
          <c:w val="0.83025491599646306"/>
          <c:h val="0.78723802588260283"/>
        </c:manualLayout>
      </c:layout>
      <c:barChart>
        <c:barDir val="col"/>
        <c:grouping val="clustered"/>
        <c:varyColors val="0"/>
        <c:ser>
          <c:idx val="1"/>
          <c:order val="0"/>
          <c:tx>
            <c:strRef>
              <c:f>'CZ Extrapolation'!$EQ$4</c:f>
              <c:strCache>
                <c:ptCount val="1"/>
                <c:pt idx="0">
                  <c:v>Annual Therm 
Savings</c:v>
                </c:pt>
              </c:strCache>
            </c:strRef>
          </c:tx>
          <c:spPr>
            <a:ln w="15875">
              <a:noFill/>
            </a:ln>
          </c:spPr>
          <c:invertIfNegative val="0"/>
          <c:val>
            <c:numRef>
              <c:f>'CZ Extrapolation'!$EQ$5:$EQ$20</c:f>
              <c:numCache>
                <c:formatCode>0</c:formatCode>
                <c:ptCount val="16"/>
                <c:pt idx="0">
                  <c:v>290.85565374374517</c:v>
                </c:pt>
                <c:pt idx="1">
                  <c:v>462.59488164211922</c:v>
                </c:pt>
                <c:pt idx="2">
                  <c:v>453.91485252142377</c:v>
                </c:pt>
                <c:pt idx="3">
                  <c:v>525.82707032821156</c:v>
                </c:pt>
                <c:pt idx="4">
                  <c:v>422.27711563029305</c:v>
                </c:pt>
                <c:pt idx="5">
                  <c:v>590.86639566009706</c:v>
                </c:pt>
                <c:pt idx="6">
                  <c:v>615.7533908268075</c:v>
                </c:pt>
                <c:pt idx="7">
                  <c:v>631.85650405701972</c:v>
                </c:pt>
                <c:pt idx="8">
                  <c:v>611.62551334857926</c:v>
                </c:pt>
                <c:pt idx="9">
                  <c:v>605.8818449831814</c:v>
                </c:pt>
                <c:pt idx="10">
                  <c:v>534.92578101734205</c:v>
                </c:pt>
                <c:pt idx="11">
                  <c:v>530.41873192556614</c:v>
                </c:pt>
                <c:pt idx="12">
                  <c:v>551.51008719915922</c:v>
                </c:pt>
                <c:pt idx="13">
                  <c:v>526.08661262653845</c:v>
                </c:pt>
                <c:pt idx="14">
                  <c:v>714.15045015293754</c:v>
                </c:pt>
                <c:pt idx="15">
                  <c:v>349.4562838291659</c:v>
                </c:pt>
              </c:numCache>
            </c:numRef>
          </c:val>
          <c:extLst>
            <c:ext xmlns:c16="http://schemas.microsoft.com/office/drawing/2014/chart" uri="{C3380CC4-5D6E-409C-BE32-E72D297353CC}">
              <c16:uniqueId val="{00000000-B0D7-49AF-AF90-2222A91AFE35}"/>
            </c:ext>
          </c:extLst>
        </c:ser>
        <c:dLbls>
          <c:showLegendKey val="0"/>
          <c:showVal val="0"/>
          <c:showCatName val="0"/>
          <c:showSerName val="0"/>
          <c:showPercent val="0"/>
          <c:showBubbleSize val="0"/>
        </c:dLbls>
        <c:gapWidth val="139"/>
        <c:overlap val="-6"/>
        <c:axId val="214036480"/>
        <c:axId val="214038784"/>
      </c:barChart>
      <c:catAx>
        <c:axId val="214036480"/>
        <c:scaling>
          <c:orientation val="minMax"/>
        </c:scaling>
        <c:delete val="0"/>
        <c:axPos val="b"/>
        <c:title>
          <c:tx>
            <c:rich>
              <a:bodyPr/>
              <a:lstStyle/>
              <a:p>
                <a:pPr>
                  <a:defRPr/>
                </a:pPr>
                <a:r>
                  <a:rPr lang="en-US"/>
                  <a:t>Climate Zone</a:t>
                </a:r>
              </a:p>
            </c:rich>
          </c:tx>
          <c:overlay val="0"/>
        </c:title>
        <c:majorTickMark val="out"/>
        <c:minorTickMark val="none"/>
        <c:tickLblPos val="nextTo"/>
        <c:crossAx val="214038784"/>
        <c:crosses val="autoZero"/>
        <c:auto val="1"/>
        <c:lblAlgn val="ctr"/>
        <c:lblOffset val="100"/>
        <c:noMultiLvlLbl val="0"/>
      </c:catAx>
      <c:valAx>
        <c:axId val="214038784"/>
        <c:scaling>
          <c:orientation val="minMax"/>
        </c:scaling>
        <c:delete val="0"/>
        <c:axPos val="l"/>
        <c:majorGridlines>
          <c:spPr>
            <a:ln w="3175"/>
          </c:spPr>
        </c:majorGridlines>
        <c:title>
          <c:tx>
            <c:rich>
              <a:bodyPr rot="0" vert="horz"/>
              <a:lstStyle/>
              <a:p>
                <a:pPr>
                  <a:defRPr/>
                </a:pPr>
                <a:r>
                  <a:rPr lang="en-US"/>
                  <a:t>Annual </a:t>
                </a:r>
              </a:p>
              <a:p>
                <a:pPr>
                  <a:defRPr/>
                </a:pPr>
                <a:r>
                  <a:rPr lang="en-US"/>
                  <a:t>Therm </a:t>
                </a:r>
              </a:p>
              <a:p>
                <a:pPr>
                  <a:defRPr/>
                </a:pPr>
                <a:r>
                  <a:rPr lang="en-US"/>
                  <a:t>Savings</a:t>
                </a:r>
              </a:p>
            </c:rich>
          </c:tx>
          <c:layout>
            <c:manualLayout>
              <c:xMode val="edge"/>
              <c:yMode val="edge"/>
              <c:x val="0"/>
              <c:y val="0.36760730053252022"/>
            </c:manualLayout>
          </c:layout>
          <c:overlay val="0"/>
        </c:title>
        <c:numFmt formatCode="0" sourceLinked="1"/>
        <c:majorTickMark val="none"/>
        <c:minorTickMark val="none"/>
        <c:tickLblPos val="nextTo"/>
        <c:crossAx val="214036480"/>
        <c:crosses val="autoZero"/>
        <c:crossBetween val="between"/>
        <c:majorUnit val="50"/>
      </c:valAx>
    </c:plotArea>
    <c:plotVisOnly val="1"/>
    <c:dispBlanksAs val="gap"/>
    <c:showDLblsOverMax val="0"/>
  </c:chart>
  <c:spPr>
    <a:ln>
      <a:noFill/>
    </a:ln>
  </c:spPr>
  <c:txPr>
    <a:bodyPr/>
    <a:lstStyle/>
    <a:p>
      <a:pPr>
        <a:defRPr b="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6C293-6E5A-48C7-AED3-75B66F862E39}">
  <ds:schemaRefs>
    <ds:schemaRef ds:uri="http://schemas.microsoft.com/sharepoint/v3/contenttype/forms"/>
  </ds:schemaRefs>
</ds:datastoreItem>
</file>

<file path=customXml/itemProps2.xml><?xml version="1.0" encoding="utf-8"?>
<ds:datastoreItem xmlns:ds="http://schemas.openxmlformats.org/officeDocument/2006/customXml" ds:itemID="{118DCF3C-69D5-43EF-991D-49479B5E6804}">
  <ds:schemaRefs>
    <ds:schemaRef ds:uri="http://purl.org/dc/elements/1.1/"/>
    <ds:schemaRef ds:uri="http://schemas.microsoft.com/office/2006/metadata/properties"/>
    <ds:schemaRef ds:uri="1fc248c3-ff09-43ca-b0f5-2ab76585017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ca58cb1-a033-43ef-8c86-0668b269dda1"/>
    <ds:schemaRef ds:uri="http://www.w3.org/XML/1998/namespace"/>
    <ds:schemaRef ds:uri="http://purl.org/dc/dcmitype/"/>
  </ds:schemaRefs>
</ds:datastoreItem>
</file>

<file path=customXml/itemProps3.xml><?xml version="1.0" encoding="utf-8"?>
<ds:datastoreItem xmlns:ds="http://schemas.openxmlformats.org/officeDocument/2006/customXml" ds:itemID="{168CA6C3-F4AE-4CEA-A38E-745C1D2F8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66B5D1-B2EF-489A-926D-CC3D38326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1</TotalTime>
  <Pages>14</Pages>
  <Words>3224</Words>
  <Characters>18382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21563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2</cp:revision>
  <cp:lastPrinted>2019-03-29T20:21:00Z</cp:lastPrinted>
  <dcterms:created xsi:type="dcterms:W3CDTF">2020-05-28T03:21:00Z</dcterms:created>
  <dcterms:modified xsi:type="dcterms:W3CDTF">2020-05-28T03:21:00Z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